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3E513" w14:textId="6D132484" w:rsidR="009C2934" w:rsidRPr="00471560" w:rsidRDefault="009C2934" w:rsidP="009C2934">
      <w:pPr>
        <w:pStyle w:val="Ttulo1"/>
      </w:pPr>
      <w:r w:rsidRPr="00471560">
        <w:t>5.12</w:t>
      </w:r>
      <w:r w:rsidR="00C45FF1">
        <w:rPr>
          <w:caps w:val="0"/>
        </w:rPr>
        <w:t>a</w:t>
      </w:r>
      <w:r w:rsidRPr="00471560">
        <w:t xml:space="preserve"> ANEXO DESCRIPCIÓN Y JUSTIFICACIÓN DE LOS CONCEPTOS QUE INTEGRAN EL IMPORTE TOTAL CONTRATADO CON FUNDAMENTO EN EL ARTÍCULO 41 DE LA LEY DE ADQUISICIONES, ARRENDAMIENTOS Y SERVICIOS DEL SECTOR PÚBLICO, DEL PRIMER SEMESTRE DE 2024.</w:t>
      </w:r>
    </w:p>
    <w:tbl>
      <w:tblPr>
        <w:tblStyle w:val="Tablaconcuadrcula"/>
        <w:tblpPr w:leftFromText="141" w:rightFromText="141" w:vertAnchor="text" w:tblpXSpec="center" w:tblpY="1"/>
        <w:tblOverlap w:val="never"/>
        <w:tblW w:w="10627" w:type="dxa"/>
        <w:jc w:val="center"/>
        <w:tblLayout w:type="fixed"/>
        <w:tblLook w:val="04A0" w:firstRow="1" w:lastRow="0" w:firstColumn="1" w:lastColumn="0" w:noHBand="0" w:noVBand="1"/>
      </w:tblPr>
      <w:tblGrid>
        <w:gridCol w:w="1270"/>
        <w:gridCol w:w="1275"/>
        <w:gridCol w:w="3404"/>
        <w:gridCol w:w="3118"/>
        <w:gridCol w:w="1560"/>
      </w:tblGrid>
      <w:tr w:rsidR="009C2934" w:rsidRPr="00471560" w14:paraId="58ECD75F" w14:textId="77777777" w:rsidTr="008A0D50">
        <w:trPr>
          <w:trHeight w:val="556"/>
          <w:jc w:val="center"/>
        </w:trPr>
        <w:tc>
          <w:tcPr>
            <w:tcW w:w="1270" w:type="dxa"/>
            <w:shd w:val="clear" w:color="auto" w:fill="5F1DA1"/>
            <w:vAlign w:val="center"/>
          </w:tcPr>
          <w:p w14:paraId="01B7BA16" w14:textId="77777777" w:rsidR="009C2934" w:rsidRPr="008A0D50" w:rsidRDefault="009C2934" w:rsidP="008A0D50">
            <w:pPr>
              <w:pStyle w:val="Ttulo2"/>
              <w:spacing w:before="0"/>
              <w:jc w:val="center"/>
              <w:outlineLvl w:val="1"/>
              <w:rPr>
                <w:color w:val="FFFFFF" w:themeColor="background1"/>
              </w:rPr>
            </w:pPr>
            <w:r w:rsidRPr="008A0D50">
              <w:rPr>
                <w:color w:val="FFFFFF" w:themeColor="background1"/>
              </w:rPr>
              <w:t>Fracción del Art. 41</w:t>
            </w:r>
          </w:p>
        </w:tc>
        <w:tc>
          <w:tcPr>
            <w:tcW w:w="1275" w:type="dxa"/>
            <w:shd w:val="clear" w:color="auto" w:fill="5F1DA1"/>
            <w:vAlign w:val="center"/>
          </w:tcPr>
          <w:p w14:paraId="006A899B" w14:textId="77777777" w:rsidR="009C2934" w:rsidRPr="008A0D50" w:rsidRDefault="009C2934" w:rsidP="008A0D50">
            <w:pPr>
              <w:pStyle w:val="Ttulo2"/>
              <w:spacing w:before="0"/>
              <w:jc w:val="center"/>
              <w:outlineLvl w:val="1"/>
              <w:rPr>
                <w:color w:val="FFFFFF" w:themeColor="background1"/>
              </w:rPr>
            </w:pPr>
            <w:r w:rsidRPr="008A0D50">
              <w:rPr>
                <w:color w:val="FFFFFF" w:themeColor="background1"/>
              </w:rPr>
              <w:t>Importe en miles de pesos</w:t>
            </w:r>
          </w:p>
        </w:tc>
        <w:tc>
          <w:tcPr>
            <w:tcW w:w="3404" w:type="dxa"/>
            <w:shd w:val="clear" w:color="auto" w:fill="5F1DA1"/>
            <w:vAlign w:val="center"/>
          </w:tcPr>
          <w:p w14:paraId="122DBED9" w14:textId="77777777" w:rsidR="009C2934" w:rsidRPr="008A0D50" w:rsidRDefault="009C2934" w:rsidP="008A0D50">
            <w:pPr>
              <w:pStyle w:val="Ttulo2"/>
              <w:spacing w:before="0"/>
              <w:jc w:val="center"/>
              <w:outlineLvl w:val="1"/>
              <w:rPr>
                <w:color w:val="FFFFFF" w:themeColor="background1"/>
              </w:rPr>
            </w:pPr>
            <w:r w:rsidRPr="008A0D50">
              <w:rPr>
                <w:color w:val="FFFFFF" w:themeColor="background1"/>
              </w:rPr>
              <w:t>Concepto</w:t>
            </w:r>
          </w:p>
        </w:tc>
        <w:tc>
          <w:tcPr>
            <w:tcW w:w="3118" w:type="dxa"/>
            <w:shd w:val="clear" w:color="auto" w:fill="5F1DA1"/>
            <w:vAlign w:val="center"/>
          </w:tcPr>
          <w:p w14:paraId="7FFF37E0" w14:textId="77777777" w:rsidR="009C2934" w:rsidRPr="008A0D50" w:rsidRDefault="009C2934" w:rsidP="008A0D50">
            <w:pPr>
              <w:pStyle w:val="Ttulo2"/>
              <w:spacing w:before="0"/>
              <w:jc w:val="center"/>
              <w:outlineLvl w:val="1"/>
              <w:rPr>
                <w:color w:val="FFFFFF" w:themeColor="background1"/>
              </w:rPr>
            </w:pPr>
            <w:r w:rsidRPr="008A0D50">
              <w:rPr>
                <w:color w:val="FFFFFF" w:themeColor="background1"/>
              </w:rPr>
              <w:t>Justificación de la excepción a la licitación pública</w:t>
            </w:r>
          </w:p>
        </w:tc>
        <w:tc>
          <w:tcPr>
            <w:tcW w:w="1560" w:type="dxa"/>
            <w:shd w:val="clear" w:color="auto" w:fill="5F1DA1"/>
            <w:vAlign w:val="center"/>
          </w:tcPr>
          <w:p w14:paraId="7D0F8EF9" w14:textId="77777777" w:rsidR="009C2934" w:rsidRPr="008A0D50" w:rsidRDefault="009C2934" w:rsidP="008A0D50">
            <w:pPr>
              <w:pStyle w:val="Ttulo2"/>
              <w:spacing w:before="0"/>
              <w:jc w:val="center"/>
              <w:outlineLvl w:val="1"/>
              <w:rPr>
                <w:color w:val="FFFFFF" w:themeColor="background1"/>
              </w:rPr>
            </w:pPr>
            <w:r w:rsidRPr="008A0D50">
              <w:rPr>
                <w:color w:val="FFFFFF" w:themeColor="background1"/>
              </w:rPr>
              <w:t>Número de Proveedores Adjudicados</w:t>
            </w:r>
          </w:p>
        </w:tc>
      </w:tr>
      <w:tr w:rsidR="009C2934" w:rsidRPr="00471560" w14:paraId="131DEABE" w14:textId="77777777" w:rsidTr="008A0D50">
        <w:trPr>
          <w:trHeight w:val="344"/>
          <w:jc w:val="center"/>
        </w:trPr>
        <w:tc>
          <w:tcPr>
            <w:tcW w:w="10627" w:type="dxa"/>
            <w:gridSpan w:val="5"/>
            <w:shd w:val="clear" w:color="auto" w:fill="5F1DA1"/>
            <w:vAlign w:val="center"/>
          </w:tcPr>
          <w:p w14:paraId="110F4D87" w14:textId="77777777" w:rsidR="009C2934" w:rsidRPr="008A0D50" w:rsidRDefault="009C2934" w:rsidP="00C51C55">
            <w:pPr>
              <w:pStyle w:val="Ttulo2"/>
              <w:spacing w:before="0"/>
              <w:outlineLvl w:val="1"/>
              <w:rPr>
                <w:color w:val="FFFFFF" w:themeColor="background1"/>
              </w:rPr>
            </w:pPr>
            <w:r w:rsidRPr="008A0D50">
              <w:rPr>
                <w:color w:val="FFFFFF" w:themeColor="background1"/>
              </w:rPr>
              <w:t>CAPITULO 2000</w:t>
            </w:r>
          </w:p>
        </w:tc>
      </w:tr>
      <w:tr w:rsidR="009C2934" w:rsidRPr="00471560" w14:paraId="4C13BEEF" w14:textId="77777777" w:rsidTr="008A0D50">
        <w:trPr>
          <w:trHeight w:val="3433"/>
          <w:jc w:val="center"/>
        </w:trPr>
        <w:tc>
          <w:tcPr>
            <w:tcW w:w="1270" w:type="dxa"/>
            <w:vAlign w:val="center"/>
          </w:tcPr>
          <w:p w14:paraId="7DC3456C" w14:textId="77777777" w:rsidR="009C2934" w:rsidRPr="00471560" w:rsidRDefault="009C2934" w:rsidP="00C51C55">
            <w:pPr>
              <w:pStyle w:val="Contenido1"/>
              <w:jc w:val="center"/>
            </w:pPr>
            <w:r w:rsidRPr="00471560">
              <w:t>III</w:t>
            </w:r>
          </w:p>
        </w:tc>
        <w:tc>
          <w:tcPr>
            <w:tcW w:w="1275" w:type="dxa"/>
            <w:vAlign w:val="center"/>
          </w:tcPr>
          <w:p w14:paraId="474B4E99" w14:textId="77777777" w:rsidR="009C2934" w:rsidRPr="00471560" w:rsidRDefault="009C2934" w:rsidP="00C51C55">
            <w:pPr>
              <w:pStyle w:val="Contenido1"/>
              <w:jc w:val="center"/>
            </w:pPr>
            <w:r w:rsidRPr="00471560">
              <w:t>180.50</w:t>
            </w:r>
          </w:p>
        </w:tc>
        <w:tc>
          <w:tcPr>
            <w:tcW w:w="3404" w:type="dxa"/>
            <w:vAlign w:val="center"/>
          </w:tcPr>
          <w:p w14:paraId="466FFAE0" w14:textId="7567CCFC" w:rsidR="009C2934" w:rsidRPr="00471560" w:rsidRDefault="009C2934" w:rsidP="00C51C55">
            <w:pPr>
              <w:pStyle w:val="Contenido1"/>
            </w:pPr>
            <w:r w:rsidRPr="00471560">
              <w:t>Suministro de material de limpieza</w:t>
            </w:r>
          </w:p>
        </w:tc>
        <w:tc>
          <w:tcPr>
            <w:tcW w:w="3118" w:type="dxa"/>
            <w:vAlign w:val="center"/>
          </w:tcPr>
          <w:p w14:paraId="50F84202" w14:textId="77777777" w:rsidR="009C2934" w:rsidRPr="00471560" w:rsidRDefault="009C2934" w:rsidP="00C51C55">
            <w:pPr>
              <w:pStyle w:val="Contenido1"/>
            </w:pPr>
            <w:r w:rsidRPr="00471560">
              <w:t xml:space="preserve">Como resultado de la evaluación cualitativa técnica y económica, determinamos que los bienes propuestos por los proveedores cumplen con lo requerido, los precios se encuentran dentro de los parámetros de mercado y en el comparativo de precios, se elige la propuesta que resulta más conveniente para el </w:t>
            </w:r>
            <w:proofErr w:type="spellStart"/>
            <w:r w:rsidRPr="00471560">
              <w:t>lNECOL</w:t>
            </w:r>
            <w:proofErr w:type="spellEnd"/>
            <w:r w:rsidRPr="00471560">
              <w:t>, al precio más bajo y se ajusta al presupuesto disponible en el proyecto.  Gasto realizado con recursos fiscales por 180.50.</w:t>
            </w:r>
          </w:p>
        </w:tc>
        <w:tc>
          <w:tcPr>
            <w:tcW w:w="1560" w:type="dxa"/>
            <w:vAlign w:val="center"/>
          </w:tcPr>
          <w:p w14:paraId="2E354138" w14:textId="794F61CC" w:rsidR="009C2934" w:rsidRPr="00471560" w:rsidRDefault="009C2934" w:rsidP="00C51C55">
            <w:pPr>
              <w:pStyle w:val="Contenido1"/>
              <w:jc w:val="center"/>
            </w:pPr>
            <w:r w:rsidRPr="00471560">
              <w:t>1</w:t>
            </w:r>
          </w:p>
        </w:tc>
      </w:tr>
      <w:tr w:rsidR="009C2934" w:rsidRPr="00471560" w14:paraId="3F08B40A" w14:textId="77777777" w:rsidTr="008A0D50">
        <w:trPr>
          <w:trHeight w:val="5513"/>
          <w:jc w:val="center"/>
        </w:trPr>
        <w:tc>
          <w:tcPr>
            <w:tcW w:w="1270" w:type="dxa"/>
            <w:vAlign w:val="center"/>
          </w:tcPr>
          <w:p w14:paraId="2C90BC81" w14:textId="77777777" w:rsidR="009C2934" w:rsidRPr="00471560" w:rsidRDefault="009C2934" w:rsidP="00C51C55">
            <w:pPr>
              <w:pStyle w:val="Contenido1"/>
              <w:jc w:val="center"/>
            </w:pPr>
            <w:r w:rsidRPr="00471560">
              <w:t>XVII</w:t>
            </w:r>
          </w:p>
        </w:tc>
        <w:tc>
          <w:tcPr>
            <w:tcW w:w="1275" w:type="dxa"/>
            <w:vAlign w:val="center"/>
          </w:tcPr>
          <w:p w14:paraId="479C66FF" w14:textId="49B96140" w:rsidR="009C2934" w:rsidRPr="00471560" w:rsidRDefault="009C2934" w:rsidP="00C51C55">
            <w:pPr>
              <w:pStyle w:val="Contenido1"/>
              <w:jc w:val="center"/>
            </w:pPr>
            <w:r w:rsidRPr="00471560">
              <w:t>240.14</w:t>
            </w:r>
          </w:p>
        </w:tc>
        <w:tc>
          <w:tcPr>
            <w:tcW w:w="3404" w:type="dxa"/>
            <w:vAlign w:val="center"/>
          </w:tcPr>
          <w:p w14:paraId="56281F13" w14:textId="77777777" w:rsidR="009C2934" w:rsidRPr="00471560" w:rsidRDefault="009C2934" w:rsidP="00C51C55">
            <w:pPr>
              <w:pStyle w:val="Contenido1"/>
            </w:pPr>
            <w:r w:rsidRPr="00471560">
              <w:t>Reactivos y materiales de laboratorio para uso en actividades experimentales requeridas en proyecto de investigación científica y desarrollo tecnológico.</w:t>
            </w:r>
          </w:p>
        </w:tc>
        <w:tc>
          <w:tcPr>
            <w:tcW w:w="3118" w:type="dxa"/>
            <w:vAlign w:val="center"/>
          </w:tcPr>
          <w:p w14:paraId="5C3CFEF5" w14:textId="77777777" w:rsidR="009C2934" w:rsidRPr="00471560" w:rsidRDefault="009C2934" w:rsidP="00C51C55">
            <w:pPr>
              <w:pStyle w:val="Contenido1"/>
            </w:pPr>
            <w:r w:rsidRPr="00471560">
              <w:t>Como resultado de la evaluación cualitativa técnica y económica, los bienes propuestos por los proveedores, cumplen técnicamente con lo requerido, por lo que algunos se adjudicaron a la empresa cuya propuesta fue la del precio más bajo, sin embargo, en algunos productos, el criterio de calidad, cantidad, pureza, calibración, etc., fueron de mayor relevancia para la elección del producto aun cuando económicamente no representaran la opción más económica, pero se ajusta al presupuesto disponible en el proyecto.</w:t>
            </w:r>
          </w:p>
          <w:p w14:paraId="2B0DDBCA" w14:textId="77777777" w:rsidR="009C2934" w:rsidRPr="00471560" w:rsidRDefault="009C2934" w:rsidP="00C51C55">
            <w:pPr>
              <w:pStyle w:val="Contenido1"/>
            </w:pPr>
            <w:r w:rsidRPr="00471560">
              <w:t>Gasto realizado con recursos propios por 63.68 y recursos fiscales por 176.46.</w:t>
            </w:r>
          </w:p>
        </w:tc>
        <w:tc>
          <w:tcPr>
            <w:tcW w:w="1560" w:type="dxa"/>
          </w:tcPr>
          <w:p w14:paraId="4C9F0140" w14:textId="77777777" w:rsidR="009C2934" w:rsidRPr="00471560" w:rsidRDefault="009C2934" w:rsidP="00C51C55">
            <w:pPr>
              <w:pStyle w:val="Contenido1"/>
              <w:jc w:val="center"/>
            </w:pPr>
            <w:r w:rsidRPr="00471560">
              <w:t>2</w:t>
            </w:r>
          </w:p>
          <w:p w14:paraId="0DA99D6A" w14:textId="77777777" w:rsidR="009C2934" w:rsidRPr="00471560" w:rsidRDefault="009C2934" w:rsidP="00C51C55">
            <w:pPr>
              <w:pStyle w:val="Contenido1"/>
              <w:jc w:val="center"/>
            </w:pPr>
          </w:p>
        </w:tc>
      </w:tr>
      <w:tr w:rsidR="009C2934" w:rsidRPr="00471560" w14:paraId="6CE9CB78" w14:textId="77777777" w:rsidTr="00984576">
        <w:trPr>
          <w:trHeight w:val="1077"/>
          <w:jc w:val="center"/>
        </w:trPr>
        <w:tc>
          <w:tcPr>
            <w:tcW w:w="1270" w:type="dxa"/>
            <w:tcBorders>
              <w:bottom w:val="single" w:sz="4" w:space="0" w:color="auto"/>
            </w:tcBorders>
            <w:shd w:val="clear" w:color="auto" w:fill="auto"/>
            <w:vAlign w:val="center"/>
          </w:tcPr>
          <w:p w14:paraId="4BEFB6E1" w14:textId="77777777" w:rsidR="009C2934" w:rsidRPr="00471560" w:rsidRDefault="009C2934" w:rsidP="00C51C55">
            <w:pPr>
              <w:pStyle w:val="Ttulo2"/>
              <w:spacing w:before="0"/>
              <w:jc w:val="center"/>
              <w:outlineLvl w:val="1"/>
            </w:pPr>
            <w:r w:rsidRPr="00471560">
              <w:t>Total, Capítulo</w:t>
            </w:r>
          </w:p>
          <w:p w14:paraId="4647A802" w14:textId="77777777" w:rsidR="009C2934" w:rsidRPr="00471560" w:rsidRDefault="009C2934" w:rsidP="00C51C55">
            <w:pPr>
              <w:pStyle w:val="Ttulo2"/>
              <w:spacing w:before="0"/>
              <w:jc w:val="center"/>
              <w:outlineLvl w:val="1"/>
            </w:pPr>
            <w:r w:rsidRPr="00471560">
              <w:t>2000</w:t>
            </w:r>
          </w:p>
        </w:tc>
        <w:tc>
          <w:tcPr>
            <w:tcW w:w="1275" w:type="dxa"/>
            <w:tcBorders>
              <w:bottom w:val="single" w:sz="4" w:space="0" w:color="auto"/>
            </w:tcBorders>
            <w:shd w:val="clear" w:color="auto" w:fill="auto"/>
            <w:vAlign w:val="center"/>
          </w:tcPr>
          <w:p w14:paraId="46053F80" w14:textId="75DD66B0" w:rsidR="009C2934" w:rsidRPr="00471560" w:rsidRDefault="009C2934" w:rsidP="00C51C55">
            <w:pPr>
              <w:pStyle w:val="Ttulo2"/>
              <w:spacing w:before="0"/>
              <w:jc w:val="center"/>
              <w:outlineLvl w:val="1"/>
            </w:pPr>
            <w:r w:rsidRPr="00471560">
              <w:t>420.64</w:t>
            </w:r>
          </w:p>
        </w:tc>
        <w:tc>
          <w:tcPr>
            <w:tcW w:w="3404" w:type="dxa"/>
            <w:tcBorders>
              <w:bottom w:val="single" w:sz="4" w:space="0" w:color="auto"/>
            </w:tcBorders>
            <w:shd w:val="clear" w:color="auto" w:fill="auto"/>
          </w:tcPr>
          <w:p w14:paraId="5261E51F" w14:textId="77777777" w:rsidR="009C2934" w:rsidRPr="00471560" w:rsidRDefault="009C2934" w:rsidP="00C51C55">
            <w:pPr>
              <w:spacing w:before="0" w:after="0"/>
              <w:rPr>
                <w:rFonts w:cs="Calibri"/>
                <w:szCs w:val="18"/>
              </w:rPr>
            </w:pPr>
          </w:p>
        </w:tc>
        <w:tc>
          <w:tcPr>
            <w:tcW w:w="3118" w:type="dxa"/>
            <w:tcBorders>
              <w:bottom w:val="single" w:sz="4" w:space="0" w:color="auto"/>
            </w:tcBorders>
          </w:tcPr>
          <w:p w14:paraId="109FA504" w14:textId="77777777" w:rsidR="009C2934" w:rsidRPr="00471560" w:rsidRDefault="009C2934" w:rsidP="00C51C55">
            <w:pPr>
              <w:spacing w:before="0" w:after="0"/>
              <w:rPr>
                <w:rFonts w:cs="Calibri"/>
                <w:szCs w:val="18"/>
              </w:rPr>
            </w:pPr>
          </w:p>
        </w:tc>
        <w:tc>
          <w:tcPr>
            <w:tcW w:w="1560" w:type="dxa"/>
            <w:tcBorders>
              <w:bottom w:val="single" w:sz="4" w:space="0" w:color="auto"/>
            </w:tcBorders>
          </w:tcPr>
          <w:p w14:paraId="578A3A42" w14:textId="77777777" w:rsidR="009C2934" w:rsidRPr="00471560" w:rsidRDefault="009C2934" w:rsidP="00C51C55">
            <w:pPr>
              <w:spacing w:before="0" w:after="0"/>
              <w:rPr>
                <w:rFonts w:cs="Calibri"/>
                <w:szCs w:val="18"/>
              </w:rPr>
            </w:pPr>
          </w:p>
        </w:tc>
      </w:tr>
      <w:tr w:rsidR="009C2934" w:rsidRPr="00471560" w14:paraId="1DD10751" w14:textId="77777777" w:rsidTr="00AB013D">
        <w:trPr>
          <w:trHeight w:val="316"/>
          <w:jc w:val="center"/>
        </w:trPr>
        <w:tc>
          <w:tcPr>
            <w:tcW w:w="10627" w:type="dxa"/>
            <w:gridSpan w:val="5"/>
            <w:tcBorders>
              <w:bottom w:val="single" w:sz="4" w:space="0" w:color="auto"/>
            </w:tcBorders>
            <w:shd w:val="clear" w:color="auto" w:fill="auto"/>
            <w:vAlign w:val="center"/>
          </w:tcPr>
          <w:p w14:paraId="602F9E19" w14:textId="77777777" w:rsidR="009C2934" w:rsidRPr="00471560" w:rsidRDefault="009C2934" w:rsidP="00C51C55">
            <w:pPr>
              <w:pStyle w:val="Ttulo2"/>
              <w:spacing w:before="0"/>
              <w:outlineLvl w:val="1"/>
              <w:rPr>
                <w:rFonts w:cs="Calibri"/>
                <w:sz w:val="22"/>
              </w:rPr>
            </w:pPr>
            <w:r w:rsidRPr="00471560">
              <w:lastRenderedPageBreak/>
              <w:t>CAPITULO 3000</w:t>
            </w:r>
          </w:p>
        </w:tc>
      </w:tr>
      <w:tr w:rsidR="009C2934" w:rsidRPr="00471560" w14:paraId="2AA9031C" w14:textId="77777777" w:rsidTr="00C51C55">
        <w:trPr>
          <w:trHeight w:val="1563"/>
          <w:jc w:val="center"/>
        </w:trPr>
        <w:tc>
          <w:tcPr>
            <w:tcW w:w="1270" w:type="dxa"/>
            <w:vMerge w:val="restart"/>
            <w:tcBorders>
              <w:top w:val="single" w:sz="4" w:space="0" w:color="auto"/>
            </w:tcBorders>
            <w:shd w:val="clear" w:color="auto" w:fill="auto"/>
            <w:vAlign w:val="center"/>
          </w:tcPr>
          <w:p w14:paraId="5051ACFE" w14:textId="236EF6D3" w:rsidR="009C2934" w:rsidRPr="00471560" w:rsidRDefault="009C2934" w:rsidP="00C51C55">
            <w:pPr>
              <w:pStyle w:val="Contenido1"/>
              <w:jc w:val="center"/>
            </w:pPr>
            <w:r w:rsidRPr="00471560">
              <w:t>I</w:t>
            </w:r>
          </w:p>
        </w:tc>
        <w:tc>
          <w:tcPr>
            <w:tcW w:w="1275" w:type="dxa"/>
            <w:vMerge w:val="restart"/>
            <w:tcBorders>
              <w:top w:val="single" w:sz="4" w:space="0" w:color="auto"/>
            </w:tcBorders>
            <w:shd w:val="clear" w:color="auto" w:fill="auto"/>
            <w:vAlign w:val="center"/>
          </w:tcPr>
          <w:p w14:paraId="68667A91" w14:textId="77777777" w:rsidR="009C2934" w:rsidRPr="00471560" w:rsidRDefault="009C2934" w:rsidP="00C51C55">
            <w:pPr>
              <w:pStyle w:val="Contenido1"/>
              <w:jc w:val="center"/>
            </w:pPr>
            <w:r w:rsidRPr="00471560">
              <w:t>407.48</w:t>
            </w:r>
          </w:p>
        </w:tc>
        <w:tc>
          <w:tcPr>
            <w:tcW w:w="3404" w:type="dxa"/>
            <w:tcBorders>
              <w:top w:val="single" w:sz="4" w:space="0" w:color="auto"/>
              <w:bottom w:val="single" w:sz="4" w:space="0" w:color="auto"/>
            </w:tcBorders>
            <w:shd w:val="clear" w:color="auto" w:fill="auto"/>
            <w:vAlign w:val="center"/>
          </w:tcPr>
          <w:p w14:paraId="3E78F4E7" w14:textId="77777777" w:rsidR="009C2934" w:rsidRPr="00471560" w:rsidRDefault="009C2934" w:rsidP="00C51C55">
            <w:pPr>
              <w:pStyle w:val="Contenido1"/>
              <w:rPr>
                <w:rFonts w:ascii="Montserrat" w:eastAsia="MS Mincho" w:hAnsi="Montserrat"/>
                <w:sz w:val="18"/>
                <w:szCs w:val="18"/>
                <w:lang w:val="es-ES_tradnl"/>
              </w:rPr>
            </w:pPr>
            <w:r w:rsidRPr="00471560">
              <w:t>Servicio de aplicación, evaluación y entrega de los resultados de exámenes EXANI III-Investigación a aspirantes de ingreso al Posgrado del INECOL, nacionales e internacionales, así como los datos de los cuestionarios del contexto.  Se aplicarán aproximadamente 100 exámenes en la Convocatoria 2024.</w:t>
            </w:r>
          </w:p>
        </w:tc>
        <w:tc>
          <w:tcPr>
            <w:tcW w:w="3118" w:type="dxa"/>
            <w:tcBorders>
              <w:top w:val="single" w:sz="4" w:space="0" w:color="auto"/>
            </w:tcBorders>
            <w:shd w:val="clear" w:color="auto" w:fill="auto"/>
            <w:vAlign w:val="center"/>
          </w:tcPr>
          <w:p w14:paraId="41580ECB" w14:textId="77777777" w:rsidR="009C2934" w:rsidRPr="00471560" w:rsidRDefault="009C2934" w:rsidP="00C51C55">
            <w:pPr>
              <w:pStyle w:val="Contenido1"/>
              <w:rPr>
                <w:szCs w:val="18"/>
              </w:rPr>
            </w:pPr>
            <w:r w:rsidRPr="00471560">
              <w:t>Servicios prestados por el creador y propietario del sistema de evaluación, el examen EXANI III es una marca registrada ante el Instituto Mexicano de la Propiedad Industrial (IMPI), por lo cual, es el único que puede aplicarlo.</w:t>
            </w:r>
            <w:r w:rsidRPr="00471560">
              <w:br/>
              <w:t>Gasto cubierto con recursos fiscales por 61.75.</w:t>
            </w:r>
          </w:p>
        </w:tc>
        <w:tc>
          <w:tcPr>
            <w:tcW w:w="1560" w:type="dxa"/>
            <w:shd w:val="clear" w:color="auto" w:fill="auto"/>
            <w:vAlign w:val="center"/>
          </w:tcPr>
          <w:p w14:paraId="6A3C6985" w14:textId="4CB28B1C" w:rsidR="009C2934" w:rsidRPr="00471560" w:rsidRDefault="009C2934" w:rsidP="00C51C55">
            <w:pPr>
              <w:spacing w:before="0" w:after="0"/>
              <w:jc w:val="center"/>
              <w:rPr>
                <w:szCs w:val="18"/>
              </w:rPr>
            </w:pPr>
            <w:r w:rsidRPr="00471560">
              <w:rPr>
                <w:rFonts w:eastAsia="Times New Roman" w:cs="Calibri"/>
                <w:szCs w:val="18"/>
                <w:lang w:eastAsia="es-MX"/>
              </w:rPr>
              <w:t>1</w:t>
            </w:r>
          </w:p>
        </w:tc>
      </w:tr>
      <w:tr w:rsidR="009C2934" w:rsidRPr="00471560" w14:paraId="6338345B" w14:textId="77777777" w:rsidTr="00E373D4">
        <w:trPr>
          <w:trHeight w:val="1260"/>
          <w:jc w:val="center"/>
        </w:trPr>
        <w:tc>
          <w:tcPr>
            <w:tcW w:w="1270" w:type="dxa"/>
            <w:vMerge/>
            <w:shd w:val="clear" w:color="auto" w:fill="auto"/>
            <w:vAlign w:val="center"/>
          </w:tcPr>
          <w:p w14:paraId="30E92350" w14:textId="77777777" w:rsidR="009C2934" w:rsidRPr="00471560" w:rsidRDefault="009C2934" w:rsidP="00C51C55">
            <w:pPr>
              <w:spacing w:before="0" w:after="0"/>
              <w:jc w:val="center"/>
              <w:rPr>
                <w:szCs w:val="18"/>
              </w:rPr>
            </w:pPr>
          </w:p>
        </w:tc>
        <w:tc>
          <w:tcPr>
            <w:tcW w:w="1275" w:type="dxa"/>
            <w:vMerge/>
            <w:shd w:val="clear" w:color="auto" w:fill="auto"/>
            <w:vAlign w:val="center"/>
          </w:tcPr>
          <w:p w14:paraId="7AFC7B3E" w14:textId="77777777" w:rsidR="009C2934" w:rsidRPr="00471560" w:rsidRDefault="009C2934" w:rsidP="00C51C55">
            <w:pPr>
              <w:spacing w:before="0" w:after="0"/>
              <w:jc w:val="center"/>
              <w:rPr>
                <w:szCs w:val="18"/>
              </w:rPr>
            </w:pPr>
          </w:p>
        </w:tc>
        <w:tc>
          <w:tcPr>
            <w:tcW w:w="3404" w:type="dxa"/>
            <w:tcBorders>
              <w:top w:val="single" w:sz="4" w:space="0" w:color="auto"/>
              <w:bottom w:val="single" w:sz="4" w:space="0" w:color="auto"/>
            </w:tcBorders>
            <w:shd w:val="clear" w:color="auto" w:fill="auto"/>
            <w:vAlign w:val="center"/>
          </w:tcPr>
          <w:p w14:paraId="4310E8CB" w14:textId="77777777" w:rsidR="009C2934" w:rsidRPr="00471560" w:rsidRDefault="009C2934" w:rsidP="00C51C55">
            <w:pPr>
              <w:pStyle w:val="Contenido1"/>
              <w:rPr>
                <w:rFonts w:ascii="Montserrat" w:eastAsia="MS Mincho" w:hAnsi="Montserrat"/>
                <w:sz w:val="18"/>
                <w:szCs w:val="18"/>
                <w:lang w:val="es-ES_tradnl"/>
              </w:rPr>
            </w:pPr>
            <w:r w:rsidRPr="00471560">
              <w:t>Póliza de mantenimiento de una autoclave de vapor marca LAB-MED, modelo LMGE3M, con una puerta, cámara 50x50x91 y microprocesador touch pad, con número de inventario 24418.</w:t>
            </w:r>
          </w:p>
        </w:tc>
        <w:tc>
          <w:tcPr>
            <w:tcW w:w="3118" w:type="dxa"/>
            <w:tcBorders>
              <w:bottom w:val="single" w:sz="4" w:space="0" w:color="auto"/>
            </w:tcBorders>
            <w:shd w:val="clear" w:color="auto" w:fill="auto"/>
            <w:vAlign w:val="center"/>
          </w:tcPr>
          <w:p w14:paraId="7ABF838B" w14:textId="77777777" w:rsidR="009C2934" w:rsidRPr="00471560" w:rsidRDefault="009C2934" w:rsidP="00C51C55">
            <w:pPr>
              <w:pStyle w:val="Contenido1"/>
            </w:pPr>
            <w:r w:rsidRPr="00471560">
              <w:t>Servicio contratado al fabricante del equipo.</w:t>
            </w:r>
          </w:p>
          <w:p w14:paraId="2026567F" w14:textId="77777777" w:rsidR="009C2934" w:rsidRPr="00471560" w:rsidRDefault="009C2934" w:rsidP="00C51C55">
            <w:pPr>
              <w:pStyle w:val="Contenido1"/>
              <w:rPr>
                <w:rFonts w:ascii="Montserrat" w:eastAsia="MS Mincho" w:hAnsi="Montserrat"/>
                <w:sz w:val="18"/>
                <w:szCs w:val="18"/>
                <w:lang w:val="es-ES_tradnl"/>
              </w:rPr>
            </w:pPr>
            <w:r w:rsidRPr="00471560">
              <w:t>Gasto cubierto con recursos propios por 96.16.</w:t>
            </w:r>
          </w:p>
        </w:tc>
        <w:tc>
          <w:tcPr>
            <w:tcW w:w="1560" w:type="dxa"/>
            <w:tcBorders>
              <w:bottom w:val="single" w:sz="4" w:space="0" w:color="auto"/>
            </w:tcBorders>
            <w:shd w:val="clear" w:color="auto" w:fill="auto"/>
            <w:vAlign w:val="center"/>
          </w:tcPr>
          <w:p w14:paraId="79D1084C" w14:textId="788F8982" w:rsidR="009C2934" w:rsidRPr="00471560" w:rsidRDefault="009C2934" w:rsidP="00C51C55">
            <w:pPr>
              <w:spacing w:before="0" w:after="0"/>
              <w:jc w:val="center"/>
              <w:rPr>
                <w:szCs w:val="18"/>
              </w:rPr>
            </w:pPr>
            <w:r w:rsidRPr="00471560">
              <w:rPr>
                <w:rFonts w:eastAsia="Times New Roman" w:cs="Calibri"/>
                <w:szCs w:val="18"/>
                <w:lang w:eastAsia="es-MX"/>
              </w:rPr>
              <w:t>1</w:t>
            </w:r>
          </w:p>
        </w:tc>
      </w:tr>
      <w:tr w:rsidR="009C2934" w:rsidRPr="00471560" w14:paraId="52345795" w14:textId="77777777" w:rsidTr="00C51C55">
        <w:trPr>
          <w:trHeight w:val="991"/>
          <w:jc w:val="center"/>
        </w:trPr>
        <w:tc>
          <w:tcPr>
            <w:tcW w:w="1270" w:type="dxa"/>
            <w:vMerge/>
            <w:shd w:val="clear" w:color="auto" w:fill="auto"/>
            <w:vAlign w:val="center"/>
          </w:tcPr>
          <w:p w14:paraId="7E3D84DC" w14:textId="77777777" w:rsidR="009C2934" w:rsidRPr="00471560" w:rsidRDefault="009C2934" w:rsidP="00C51C55">
            <w:pPr>
              <w:spacing w:before="0" w:after="0"/>
              <w:jc w:val="center"/>
              <w:rPr>
                <w:szCs w:val="18"/>
              </w:rPr>
            </w:pPr>
          </w:p>
        </w:tc>
        <w:tc>
          <w:tcPr>
            <w:tcW w:w="1275" w:type="dxa"/>
            <w:vMerge/>
            <w:shd w:val="clear" w:color="auto" w:fill="auto"/>
            <w:vAlign w:val="center"/>
          </w:tcPr>
          <w:p w14:paraId="191EEB27" w14:textId="77777777" w:rsidR="009C2934" w:rsidRPr="00471560" w:rsidRDefault="009C2934" w:rsidP="00C51C55">
            <w:pPr>
              <w:spacing w:before="0" w:after="0"/>
              <w:jc w:val="center"/>
              <w:rPr>
                <w:szCs w:val="18"/>
              </w:rPr>
            </w:pPr>
          </w:p>
        </w:tc>
        <w:tc>
          <w:tcPr>
            <w:tcW w:w="3404" w:type="dxa"/>
            <w:tcBorders>
              <w:top w:val="single" w:sz="4" w:space="0" w:color="auto"/>
            </w:tcBorders>
            <w:shd w:val="clear" w:color="auto" w:fill="auto"/>
            <w:vAlign w:val="center"/>
          </w:tcPr>
          <w:p w14:paraId="522FFB21" w14:textId="77777777" w:rsidR="009C2934" w:rsidRPr="00471560" w:rsidRDefault="009C2934" w:rsidP="00C51C55">
            <w:pPr>
              <w:pStyle w:val="Contenido1"/>
            </w:pPr>
            <w:r w:rsidRPr="00471560">
              <w:t>Renovación anual a plataforma Remote XS y SMIT Mesa de servicio periodo septiembre 2024 a agosto 2025.</w:t>
            </w:r>
          </w:p>
        </w:tc>
        <w:tc>
          <w:tcPr>
            <w:tcW w:w="3118" w:type="dxa"/>
            <w:shd w:val="clear" w:color="auto" w:fill="auto"/>
            <w:vAlign w:val="center"/>
          </w:tcPr>
          <w:p w14:paraId="15C1F12A" w14:textId="77777777" w:rsidR="009C2934" w:rsidRPr="00471560" w:rsidRDefault="009C2934" w:rsidP="00C51C55">
            <w:pPr>
              <w:pStyle w:val="Contenido1"/>
            </w:pPr>
            <w:r w:rsidRPr="00471560">
              <w:t>Servicio contratado al proveedor que cuenta con la carta de exclusividad de la Plataforma.</w:t>
            </w:r>
          </w:p>
          <w:p w14:paraId="4C4D995F" w14:textId="77777777" w:rsidR="009C2934" w:rsidRPr="00471560" w:rsidRDefault="009C2934" w:rsidP="00C51C55">
            <w:pPr>
              <w:pStyle w:val="Contenido1"/>
            </w:pPr>
            <w:r w:rsidRPr="00471560">
              <w:t>Gasto cubierto con recursos fiscales por 52.90.</w:t>
            </w:r>
          </w:p>
        </w:tc>
        <w:tc>
          <w:tcPr>
            <w:tcW w:w="1560" w:type="dxa"/>
            <w:shd w:val="clear" w:color="auto" w:fill="auto"/>
            <w:vAlign w:val="center"/>
          </w:tcPr>
          <w:p w14:paraId="5801A56E" w14:textId="77777777" w:rsidR="009C2934" w:rsidRPr="00471560" w:rsidRDefault="009C2934" w:rsidP="00C51C55">
            <w:pPr>
              <w:spacing w:before="0" w:after="0"/>
              <w:jc w:val="center"/>
              <w:rPr>
                <w:szCs w:val="18"/>
              </w:rPr>
            </w:pPr>
            <w:r w:rsidRPr="00471560">
              <w:rPr>
                <w:szCs w:val="18"/>
              </w:rPr>
              <w:t>1</w:t>
            </w:r>
          </w:p>
        </w:tc>
      </w:tr>
      <w:tr w:rsidR="009C2934" w:rsidRPr="00471560" w14:paraId="234A8E00" w14:textId="77777777" w:rsidTr="00E373D4">
        <w:trPr>
          <w:trHeight w:val="1249"/>
          <w:jc w:val="center"/>
        </w:trPr>
        <w:tc>
          <w:tcPr>
            <w:tcW w:w="1270" w:type="dxa"/>
            <w:vMerge/>
            <w:shd w:val="clear" w:color="auto" w:fill="auto"/>
            <w:vAlign w:val="center"/>
          </w:tcPr>
          <w:p w14:paraId="3D10DB2D" w14:textId="77777777" w:rsidR="009C2934" w:rsidRPr="00471560" w:rsidRDefault="009C2934" w:rsidP="00C51C55">
            <w:pPr>
              <w:spacing w:before="0" w:after="0"/>
              <w:jc w:val="center"/>
              <w:rPr>
                <w:szCs w:val="18"/>
              </w:rPr>
            </w:pPr>
          </w:p>
        </w:tc>
        <w:tc>
          <w:tcPr>
            <w:tcW w:w="1275" w:type="dxa"/>
            <w:vMerge/>
            <w:shd w:val="clear" w:color="auto" w:fill="auto"/>
            <w:vAlign w:val="center"/>
          </w:tcPr>
          <w:p w14:paraId="4AB52457" w14:textId="77777777" w:rsidR="009C2934" w:rsidRPr="00471560" w:rsidRDefault="009C2934" w:rsidP="00C51C55">
            <w:pPr>
              <w:spacing w:before="0" w:after="0"/>
              <w:jc w:val="center"/>
              <w:rPr>
                <w:rFonts w:cs="Calibri"/>
                <w:szCs w:val="18"/>
              </w:rPr>
            </w:pPr>
          </w:p>
        </w:tc>
        <w:tc>
          <w:tcPr>
            <w:tcW w:w="3404" w:type="dxa"/>
            <w:tcBorders>
              <w:top w:val="single" w:sz="4" w:space="0" w:color="auto"/>
              <w:bottom w:val="single" w:sz="4" w:space="0" w:color="auto"/>
            </w:tcBorders>
            <w:shd w:val="clear" w:color="auto" w:fill="auto"/>
            <w:vAlign w:val="center"/>
          </w:tcPr>
          <w:p w14:paraId="223FF307" w14:textId="77777777" w:rsidR="009C2934" w:rsidRPr="00471560" w:rsidRDefault="009C2934" w:rsidP="00C51C55">
            <w:pPr>
              <w:pStyle w:val="Contenido1"/>
            </w:pPr>
            <w:r w:rsidRPr="00471560">
              <w:t>Auditoría estados financieros del Instituto de Ecología, A.C., con cifras al 31 de diciembre del 2023 y 30 de junio del 2024</w:t>
            </w:r>
          </w:p>
        </w:tc>
        <w:tc>
          <w:tcPr>
            <w:tcW w:w="3118" w:type="dxa"/>
            <w:tcBorders>
              <w:top w:val="single" w:sz="4" w:space="0" w:color="auto"/>
              <w:bottom w:val="single" w:sz="4" w:space="0" w:color="auto"/>
            </w:tcBorders>
            <w:shd w:val="clear" w:color="auto" w:fill="auto"/>
            <w:vAlign w:val="center"/>
          </w:tcPr>
          <w:p w14:paraId="0A5B09B8" w14:textId="77777777" w:rsidR="009C2934" w:rsidRPr="00471560" w:rsidRDefault="009C2934" w:rsidP="00C51C55">
            <w:pPr>
              <w:pStyle w:val="Contenido1"/>
            </w:pPr>
            <w:r w:rsidRPr="00471560">
              <w:t>Servicio contratado al despacho designado por la Secretaría de la Función Pública.</w:t>
            </w:r>
          </w:p>
          <w:p w14:paraId="619097D5" w14:textId="359B4659" w:rsidR="009C2934" w:rsidRPr="00471560" w:rsidRDefault="009C2934" w:rsidP="00C51C55">
            <w:pPr>
              <w:pStyle w:val="Contenido1"/>
            </w:pPr>
            <w:r w:rsidRPr="00471560">
              <w:t>Gasto cubierto con recursos propios por 196.67.</w:t>
            </w:r>
          </w:p>
        </w:tc>
        <w:tc>
          <w:tcPr>
            <w:tcW w:w="1560" w:type="dxa"/>
            <w:tcBorders>
              <w:top w:val="single" w:sz="4" w:space="0" w:color="auto"/>
              <w:bottom w:val="single" w:sz="4" w:space="0" w:color="auto"/>
            </w:tcBorders>
            <w:shd w:val="clear" w:color="auto" w:fill="auto"/>
            <w:vAlign w:val="center"/>
          </w:tcPr>
          <w:p w14:paraId="031DA4DE" w14:textId="77777777" w:rsidR="009C2934" w:rsidRPr="00471560" w:rsidRDefault="009C2934" w:rsidP="00C51C55">
            <w:pPr>
              <w:spacing w:before="0" w:after="0"/>
              <w:jc w:val="center"/>
              <w:rPr>
                <w:szCs w:val="18"/>
              </w:rPr>
            </w:pPr>
            <w:r w:rsidRPr="00471560">
              <w:rPr>
                <w:szCs w:val="18"/>
              </w:rPr>
              <w:t>1</w:t>
            </w:r>
          </w:p>
        </w:tc>
      </w:tr>
      <w:tr w:rsidR="009C2934" w:rsidRPr="00471560" w14:paraId="1E1682C2" w14:textId="77777777" w:rsidTr="00E373D4">
        <w:trPr>
          <w:trHeight w:val="1029"/>
          <w:jc w:val="center"/>
        </w:trPr>
        <w:tc>
          <w:tcPr>
            <w:tcW w:w="1270" w:type="dxa"/>
            <w:vMerge w:val="restart"/>
            <w:shd w:val="clear" w:color="auto" w:fill="auto"/>
            <w:vAlign w:val="center"/>
          </w:tcPr>
          <w:p w14:paraId="7E365610" w14:textId="77777777" w:rsidR="009C2934" w:rsidRPr="00471560" w:rsidRDefault="009C2934" w:rsidP="00C51C55">
            <w:pPr>
              <w:pStyle w:val="Contenido1"/>
              <w:jc w:val="center"/>
            </w:pPr>
            <w:r w:rsidRPr="00471560">
              <w:t>III</w:t>
            </w:r>
          </w:p>
        </w:tc>
        <w:tc>
          <w:tcPr>
            <w:tcW w:w="1275" w:type="dxa"/>
            <w:vMerge w:val="restart"/>
            <w:shd w:val="clear" w:color="auto" w:fill="auto"/>
            <w:vAlign w:val="center"/>
          </w:tcPr>
          <w:p w14:paraId="186145AB" w14:textId="1AD6FD5A" w:rsidR="009C2934" w:rsidRPr="00471560" w:rsidRDefault="009C2934" w:rsidP="00C51C55">
            <w:pPr>
              <w:pStyle w:val="Contenido1"/>
              <w:jc w:val="center"/>
            </w:pPr>
            <w:r w:rsidRPr="00471560">
              <w:t>5,333.41</w:t>
            </w:r>
          </w:p>
        </w:tc>
        <w:tc>
          <w:tcPr>
            <w:tcW w:w="3404" w:type="dxa"/>
            <w:tcBorders>
              <w:top w:val="single" w:sz="4" w:space="0" w:color="auto"/>
              <w:bottom w:val="single" w:sz="4" w:space="0" w:color="auto"/>
            </w:tcBorders>
            <w:shd w:val="clear" w:color="auto" w:fill="auto"/>
            <w:vAlign w:val="center"/>
          </w:tcPr>
          <w:p w14:paraId="66BA795A" w14:textId="77777777" w:rsidR="009C2934" w:rsidRPr="00471560" w:rsidRDefault="009C2934" w:rsidP="00C51C55">
            <w:pPr>
              <w:pStyle w:val="Contenido1"/>
            </w:pPr>
            <w:r w:rsidRPr="00471560">
              <w:t>Asesoría en materia de desarrollo organizacional y de capital humano y seguimiento al proceso de la Norma Oficial Mexicana NOM-035-STPS-2018 factores de riesgo psicosociales en el trabajo, considerando la ejecución de: 25 entrevistas por competencias a personal que solicite definitividad; entrevistas de panel a personal de nuevo ingreso (</w:t>
            </w:r>
            <w:proofErr w:type="spellStart"/>
            <w:r w:rsidRPr="00471560">
              <w:t>CyT</w:t>
            </w:r>
            <w:proofErr w:type="spellEnd"/>
            <w:r w:rsidRPr="00471560">
              <w:t xml:space="preserve"> y MM); 6 procesos individuales de desarrollo de habilidades y coaching); 2 talleres grupales sobre temas que ayudan a reducir los factores de riesgo psicosocial (los temas exactos se especificarán con posterioridad); seguimiento a la NOM-035, aplicación de cuestionarios para identificar factores de riesgo psicosocial, así como continuar con las acciones de difusión y atención para reducir los factores de riesgo psicosocial.</w:t>
            </w:r>
          </w:p>
        </w:tc>
        <w:tc>
          <w:tcPr>
            <w:tcW w:w="3118" w:type="dxa"/>
            <w:tcBorders>
              <w:top w:val="single" w:sz="4" w:space="0" w:color="auto"/>
              <w:bottom w:val="single" w:sz="4" w:space="0" w:color="auto"/>
            </w:tcBorders>
            <w:shd w:val="clear" w:color="auto" w:fill="auto"/>
            <w:vAlign w:val="center"/>
          </w:tcPr>
          <w:p w14:paraId="1ACE4F6F"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propios por 20.70.</w:t>
            </w:r>
          </w:p>
        </w:tc>
        <w:tc>
          <w:tcPr>
            <w:tcW w:w="1560" w:type="dxa"/>
            <w:tcBorders>
              <w:top w:val="single" w:sz="4" w:space="0" w:color="auto"/>
              <w:bottom w:val="single" w:sz="4" w:space="0" w:color="auto"/>
            </w:tcBorders>
            <w:shd w:val="clear" w:color="auto" w:fill="auto"/>
            <w:vAlign w:val="center"/>
          </w:tcPr>
          <w:p w14:paraId="77CA11B7" w14:textId="77777777" w:rsidR="009C2934" w:rsidRPr="00471560" w:rsidRDefault="009C2934" w:rsidP="00C51C55">
            <w:pPr>
              <w:pStyle w:val="Contenido1"/>
              <w:jc w:val="center"/>
            </w:pPr>
            <w:r w:rsidRPr="00471560">
              <w:t>1</w:t>
            </w:r>
          </w:p>
        </w:tc>
      </w:tr>
      <w:tr w:rsidR="009C2934" w:rsidRPr="00471560" w14:paraId="6E6F8DB8" w14:textId="77777777" w:rsidTr="00E373D4">
        <w:trPr>
          <w:trHeight w:val="557"/>
          <w:jc w:val="center"/>
        </w:trPr>
        <w:tc>
          <w:tcPr>
            <w:tcW w:w="1270" w:type="dxa"/>
            <w:vMerge/>
            <w:shd w:val="clear" w:color="auto" w:fill="auto"/>
            <w:vAlign w:val="center"/>
          </w:tcPr>
          <w:p w14:paraId="60A307E5" w14:textId="77777777" w:rsidR="009C2934" w:rsidRPr="00471560" w:rsidRDefault="009C2934" w:rsidP="00C51C55">
            <w:pPr>
              <w:pStyle w:val="Contenido1"/>
              <w:jc w:val="center"/>
            </w:pPr>
          </w:p>
        </w:tc>
        <w:tc>
          <w:tcPr>
            <w:tcW w:w="1275" w:type="dxa"/>
            <w:vMerge/>
            <w:shd w:val="clear" w:color="auto" w:fill="auto"/>
            <w:vAlign w:val="center"/>
          </w:tcPr>
          <w:p w14:paraId="6972B79A" w14:textId="77777777" w:rsidR="009C2934" w:rsidRPr="00471560" w:rsidRDefault="009C2934" w:rsidP="00C51C55">
            <w:pPr>
              <w:pStyle w:val="Contenido1"/>
              <w:jc w:val="center"/>
            </w:pPr>
          </w:p>
        </w:tc>
        <w:tc>
          <w:tcPr>
            <w:tcW w:w="3404" w:type="dxa"/>
            <w:tcBorders>
              <w:top w:val="single" w:sz="4" w:space="0" w:color="auto"/>
              <w:bottom w:val="single" w:sz="4" w:space="0" w:color="auto"/>
            </w:tcBorders>
            <w:shd w:val="clear" w:color="auto" w:fill="auto"/>
            <w:vAlign w:val="center"/>
          </w:tcPr>
          <w:p w14:paraId="70FA7FDC" w14:textId="4B1DC658" w:rsidR="009C2934" w:rsidRPr="00471560" w:rsidRDefault="009C2934" w:rsidP="00C51C55">
            <w:pPr>
              <w:pStyle w:val="Contenido1"/>
            </w:pPr>
            <w:r w:rsidRPr="00471560">
              <w:t>Obras de mantenimiento de un predio rústico ubicado en el municipio de Mahoma, Zacatecas, utilizando riegos de auxilio y reposición de planta, que incluye la reposición de planta, el transporte al sitio de plantación, las labores culturales y la mano de obra necesarias para el cumplimiento de su objetivo.</w:t>
            </w:r>
          </w:p>
        </w:tc>
        <w:tc>
          <w:tcPr>
            <w:tcW w:w="3118" w:type="dxa"/>
            <w:tcBorders>
              <w:top w:val="single" w:sz="4" w:space="0" w:color="auto"/>
              <w:bottom w:val="single" w:sz="4" w:space="0" w:color="auto"/>
            </w:tcBorders>
            <w:shd w:val="clear" w:color="auto" w:fill="auto"/>
            <w:vAlign w:val="center"/>
          </w:tcPr>
          <w:p w14:paraId="550810DC"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propios por 290.00.</w:t>
            </w:r>
          </w:p>
        </w:tc>
        <w:tc>
          <w:tcPr>
            <w:tcW w:w="1560" w:type="dxa"/>
            <w:tcBorders>
              <w:top w:val="single" w:sz="4" w:space="0" w:color="auto"/>
              <w:bottom w:val="single" w:sz="4" w:space="0" w:color="auto"/>
            </w:tcBorders>
            <w:shd w:val="clear" w:color="auto" w:fill="auto"/>
            <w:vAlign w:val="center"/>
          </w:tcPr>
          <w:p w14:paraId="317B9E2A" w14:textId="77777777" w:rsidR="009C2934" w:rsidRPr="00471560" w:rsidRDefault="009C2934" w:rsidP="00C51C55">
            <w:pPr>
              <w:pStyle w:val="Contenido1"/>
              <w:jc w:val="center"/>
            </w:pPr>
            <w:r w:rsidRPr="00471560">
              <w:t>1</w:t>
            </w:r>
          </w:p>
        </w:tc>
      </w:tr>
      <w:tr w:rsidR="009C2934" w:rsidRPr="00471560" w14:paraId="20300A77" w14:textId="77777777" w:rsidTr="00E373D4">
        <w:trPr>
          <w:trHeight w:val="70"/>
          <w:jc w:val="center"/>
        </w:trPr>
        <w:tc>
          <w:tcPr>
            <w:tcW w:w="1270" w:type="dxa"/>
            <w:vMerge/>
            <w:shd w:val="clear" w:color="auto" w:fill="auto"/>
            <w:vAlign w:val="center"/>
          </w:tcPr>
          <w:p w14:paraId="489CAB3A" w14:textId="77777777" w:rsidR="009C2934" w:rsidRPr="00471560" w:rsidRDefault="009C2934" w:rsidP="00C51C55">
            <w:pPr>
              <w:spacing w:before="0" w:after="0"/>
              <w:jc w:val="center"/>
              <w:rPr>
                <w:rFonts w:cs="Calibri"/>
                <w:szCs w:val="18"/>
              </w:rPr>
            </w:pPr>
          </w:p>
        </w:tc>
        <w:tc>
          <w:tcPr>
            <w:tcW w:w="1275" w:type="dxa"/>
            <w:vMerge/>
            <w:shd w:val="clear" w:color="auto" w:fill="auto"/>
            <w:vAlign w:val="center"/>
          </w:tcPr>
          <w:p w14:paraId="3D61B2C0" w14:textId="77777777" w:rsidR="009C2934" w:rsidRPr="00471560" w:rsidRDefault="009C2934" w:rsidP="00C51C55">
            <w:pPr>
              <w:spacing w:before="0" w:after="0"/>
              <w:jc w:val="center"/>
              <w:rPr>
                <w:rFonts w:cs="Calibri"/>
                <w:szCs w:val="18"/>
              </w:rPr>
            </w:pPr>
          </w:p>
        </w:tc>
        <w:tc>
          <w:tcPr>
            <w:tcW w:w="3404" w:type="dxa"/>
            <w:tcBorders>
              <w:top w:val="single" w:sz="4" w:space="0" w:color="auto"/>
              <w:bottom w:val="single" w:sz="4" w:space="0" w:color="auto"/>
            </w:tcBorders>
            <w:shd w:val="clear" w:color="auto" w:fill="auto"/>
            <w:vAlign w:val="center"/>
          </w:tcPr>
          <w:p w14:paraId="6813520E" w14:textId="77777777" w:rsidR="009C2934" w:rsidRPr="00471560" w:rsidRDefault="009C2934" w:rsidP="00C51C55">
            <w:pPr>
              <w:pStyle w:val="Contenido1"/>
            </w:pPr>
            <w:r w:rsidRPr="00471560">
              <w:t>Servicio de mantenimiento preventivo para un generador de nitrógeno de la marca PEAK modelo NM32LA serie A13-10-332. Dicho mantenimiento incluye la mano de obra y las refacciones necesarias.</w:t>
            </w:r>
          </w:p>
        </w:tc>
        <w:tc>
          <w:tcPr>
            <w:tcW w:w="3118" w:type="dxa"/>
            <w:tcBorders>
              <w:top w:val="single" w:sz="4" w:space="0" w:color="auto"/>
              <w:bottom w:val="single" w:sz="4" w:space="0" w:color="auto"/>
            </w:tcBorders>
            <w:shd w:val="clear" w:color="auto" w:fill="auto"/>
            <w:vAlign w:val="center"/>
          </w:tcPr>
          <w:p w14:paraId="483FC8EA"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propios por 64.51.</w:t>
            </w:r>
          </w:p>
        </w:tc>
        <w:tc>
          <w:tcPr>
            <w:tcW w:w="1560" w:type="dxa"/>
            <w:shd w:val="clear" w:color="auto" w:fill="auto"/>
            <w:vAlign w:val="center"/>
          </w:tcPr>
          <w:p w14:paraId="520B8D14" w14:textId="77777777" w:rsidR="009C2934" w:rsidRPr="00471560" w:rsidRDefault="009C2934" w:rsidP="00C51C55">
            <w:pPr>
              <w:pStyle w:val="Contenido1"/>
              <w:jc w:val="center"/>
            </w:pPr>
            <w:r w:rsidRPr="00471560">
              <w:t>1</w:t>
            </w:r>
          </w:p>
        </w:tc>
      </w:tr>
      <w:tr w:rsidR="009C2934" w:rsidRPr="00471560" w14:paraId="44497D68" w14:textId="77777777" w:rsidTr="00E373D4">
        <w:trPr>
          <w:trHeight w:val="70"/>
          <w:jc w:val="center"/>
        </w:trPr>
        <w:tc>
          <w:tcPr>
            <w:tcW w:w="1270" w:type="dxa"/>
            <w:vMerge/>
            <w:shd w:val="clear" w:color="auto" w:fill="auto"/>
            <w:vAlign w:val="center"/>
          </w:tcPr>
          <w:p w14:paraId="6E0E34AB" w14:textId="77777777" w:rsidR="009C2934" w:rsidRPr="00471560" w:rsidRDefault="009C2934" w:rsidP="00C51C55">
            <w:pPr>
              <w:spacing w:before="0" w:after="0"/>
              <w:jc w:val="center"/>
              <w:rPr>
                <w:rFonts w:cs="Calibri"/>
                <w:szCs w:val="18"/>
              </w:rPr>
            </w:pPr>
          </w:p>
        </w:tc>
        <w:tc>
          <w:tcPr>
            <w:tcW w:w="1275" w:type="dxa"/>
            <w:vMerge/>
            <w:shd w:val="clear" w:color="auto" w:fill="auto"/>
            <w:vAlign w:val="center"/>
          </w:tcPr>
          <w:p w14:paraId="3207823A" w14:textId="77777777" w:rsidR="009C2934" w:rsidRPr="00471560" w:rsidRDefault="009C2934" w:rsidP="00C51C55">
            <w:pPr>
              <w:spacing w:before="0" w:after="0"/>
              <w:jc w:val="center"/>
              <w:rPr>
                <w:rFonts w:cs="Calibri"/>
                <w:szCs w:val="18"/>
              </w:rPr>
            </w:pPr>
          </w:p>
        </w:tc>
        <w:tc>
          <w:tcPr>
            <w:tcW w:w="3404" w:type="dxa"/>
            <w:tcBorders>
              <w:top w:val="single" w:sz="4" w:space="0" w:color="auto"/>
              <w:bottom w:val="single" w:sz="4" w:space="0" w:color="auto"/>
            </w:tcBorders>
            <w:shd w:val="clear" w:color="auto" w:fill="auto"/>
            <w:vAlign w:val="center"/>
          </w:tcPr>
          <w:p w14:paraId="651BB985" w14:textId="77777777" w:rsidR="009C2934" w:rsidRPr="00471560" w:rsidRDefault="009C2934" w:rsidP="00C51C55">
            <w:pPr>
              <w:pStyle w:val="Contenido1"/>
            </w:pPr>
            <w:r w:rsidRPr="00471560">
              <w:t>Servicio de limpieza en las instalaciones del INECOL, Centro Regional de Bajío en Pátzcuaro, Michoacán, considerando un total de 2 personas, así como los materiales y equipos necesarios para su realización.</w:t>
            </w:r>
          </w:p>
        </w:tc>
        <w:tc>
          <w:tcPr>
            <w:tcW w:w="3118" w:type="dxa"/>
            <w:tcBorders>
              <w:top w:val="single" w:sz="4" w:space="0" w:color="auto"/>
              <w:bottom w:val="single" w:sz="4" w:space="0" w:color="auto"/>
            </w:tcBorders>
            <w:shd w:val="clear" w:color="auto" w:fill="auto"/>
            <w:vAlign w:val="center"/>
          </w:tcPr>
          <w:p w14:paraId="73A903F9"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202.48.</w:t>
            </w:r>
          </w:p>
        </w:tc>
        <w:tc>
          <w:tcPr>
            <w:tcW w:w="1560" w:type="dxa"/>
            <w:shd w:val="clear" w:color="auto" w:fill="auto"/>
            <w:vAlign w:val="center"/>
          </w:tcPr>
          <w:p w14:paraId="360A4D6F" w14:textId="77777777" w:rsidR="009C2934" w:rsidRPr="00471560" w:rsidRDefault="009C2934" w:rsidP="00C51C55">
            <w:pPr>
              <w:pStyle w:val="Contenido1"/>
              <w:jc w:val="center"/>
            </w:pPr>
            <w:r w:rsidRPr="00471560">
              <w:t>1</w:t>
            </w:r>
          </w:p>
        </w:tc>
      </w:tr>
      <w:tr w:rsidR="009C2934" w:rsidRPr="00471560" w14:paraId="3FEE2A56" w14:textId="77777777" w:rsidTr="00E373D4">
        <w:trPr>
          <w:trHeight w:val="70"/>
          <w:jc w:val="center"/>
        </w:trPr>
        <w:tc>
          <w:tcPr>
            <w:tcW w:w="1270" w:type="dxa"/>
            <w:vMerge/>
            <w:shd w:val="clear" w:color="auto" w:fill="auto"/>
            <w:vAlign w:val="center"/>
          </w:tcPr>
          <w:p w14:paraId="525CCFB4" w14:textId="77777777" w:rsidR="009C2934" w:rsidRPr="00471560" w:rsidRDefault="009C2934" w:rsidP="00C51C55">
            <w:pPr>
              <w:spacing w:before="0" w:after="0"/>
              <w:jc w:val="center"/>
              <w:rPr>
                <w:rFonts w:cs="Calibri"/>
                <w:szCs w:val="18"/>
              </w:rPr>
            </w:pPr>
          </w:p>
        </w:tc>
        <w:tc>
          <w:tcPr>
            <w:tcW w:w="1275" w:type="dxa"/>
            <w:vMerge/>
            <w:shd w:val="clear" w:color="auto" w:fill="auto"/>
            <w:vAlign w:val="center"/>
          </w:tcPr>
          <w:p w14:paraId="4D990CD3" w14:textId="77777777" w:rsidR="009C2934" w:rsidRPr="00471560" w:rsidRDefault="009C2934" w:rsidP="00C51C55">
            <w:pPr>
              <w:spacing w:before="0" w:after="0"/>
              <w:jc w:val="center"/>
              <w:rPr>
                <w:rFonts w:cs="Calibri"/>
                <w:szCs w:val="18"/>
              </w:rPr>
            </w:pPr>
          </w:p>
        </w:tc>
        <w:tc>
          <w:tcPr>
            <w:tcW w:w="3404" w:type="dxa"/>
            <w:tcBorders>
              <w:top w:val="single" w:sz="4" w:space="0" w:color="auto"/>
              <w:bottom w:val="single" w:sz="4" w:space="0" w:color="auto"/>
            </w:tcBorders>
            <w:shd w:val="clear" w:color="auto" w:fill="auto"/>
            <w:vAlign w:val="center"/>
          </w:tcPr>
          <w:p w14:paraId="038DCBBB" w14:textId="77777777" w:rsidR="009C2934" w:rsidRPr="00471560" w:rsidRDefault="009C2934" w:rsidP="00C51C55">
            <w:pPr>
              <w:pStyle w:val="Contenido1"/>
            </w:pPr>
            <w:r w:rsidRPr="00471560">
              <w:t>Servicio de vigilancia con 3 elementos de 12 horas cada uno, cubriendo las 24 horas los 365 días del año en las instalaciones del Centro Regional del Bajío en Pátzcuaro, Mich.</w:t>
            </w:r>
          </w:p>
        </w:tc>
        <w:tc>
          <w:tcPr>
            <w:tcW w:w="3118" w:type="dxa"/>
            <w:tcBorders>
              <w:top w:val="single" w:sz="4" w:space="0" w:color="auto"/>
              <w:bottom w:val="single" w:sz="4" w:space="0" w:color="auto"/>
            </w:tcBorders>
            <w:shd w:val="clear" w:color="auto" w:fill="auto"/>
            <w:vAlign w:val="center"/>
          </w:tcPr>
          <w:p w14:paraId="71CD6693"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248.99.</w:t>
            </w:r>
          </w:p>
        </w:tc>
        <w:tc>
          <w:tcPr>
            <w:tcW w:w="1560" w:type="dxa"/>
            <w:shd w:val="clear" w:color="auto" w:fill="auto"/>
            <w:vAlign w:val="center"/>
          </w:tcPr>
          <w:p w14:paraId="6FE50498" w14:textId="77777777" w:rsidR="009C2934" w:rsidRPr="00471560" w:rsidRDefault="009C2934" w:rsidP="00C51C55">
            <w:pPr>
              <w:pStyle w:val="Contenido1"/>
              <w:jc w:val="center"/>
            </w:pPr>
            <w:r w:rsidRPr="00471560">
              <w:t>1</w:t>
            </w:r>
          </w:p>
        </w:tc>
      </w:tr>
      <w:tr w:rsidR="009C2934" w:rsidRPr="00471560" w14:paraId="1365B57C" w14:textId="77777777" w:rsidTr="00E373D4">
        <w:trPr>
          <w:trHeight w:val="70"/>
          <w:jc w:val="center"/>
        </w:trPr>
        <w:tc>
          <w:tcPr>
            <w:tcW w:w="1270" w:type="dxa"/>
            <w:vMerge/>
            <w:shd w:val="clear" w:color="auto" w:fill="auto"/>
            <w:vAlign w:val="center"/>
          </w:tcPr>
          <w:p w14:paraId="2EDB0D78" w14:textId="77777777" w:rsidR="009C2934" w:rsidRPr="00471560" w:rsidRDefault="009C2934" w:rsidP="00C51C55">
            <w:pPr>
              <w:spacing w:before="0" w:after="0"/>
              <w:jc w:val="center"/>
              <w:rPr>
                <w:rFonts w:cs="Calibri"/>
                <w:szCs w:val="18"/>
              </w:rPr>
            </w:pPr>
          </w:p>
        </w:tc>
        <w:tc>
          <w:tcPr>
            <w:tcW w:w="1275" w:type="dxa"/>
            <w:vMerge/>
            <w:shd w:val="clear" w:color="auto" w:fill="auto"/>
            <w:vAlign w:val="center"/>
          </w:tcPr>
          <w:p w14:paraId="24A08179" w14:textId="77777777" w:rsidR="009C2934" w:rsidRPr="00471560" w:rsidRDefault="009C2934" w:rsidP="00C51C55">
            <w:pPr>
              <w:spacing w:before="0" w:after="0"/>
              <w:jc w:val="center"/>
              <w:rPr>
                <w:rFonts w:cs="Calibri"/>
                <w:szCs w:val="18"/>
              </w:rPr>
            </w:pPr>
          </w:p>
        </w:tc>
        <w:tc>
          <w:tcPr>
            <w:tcW w:w="3404" w:type="dxa"/>
            <w:tcBorders>
              <w:top w:val="single" w:sz="4" w:space="0" w:color="auto"/>
              <w:bottom w:val="single" w:sz="4" w:space="0" w:color="auto"/>
            </w:tcBorders>
            <w:shd w:val="clear" w:color="auto" w:fill="auto"/>
            <w:vAlign w:val="center"/>
          </w:tcPr>
          <w:p w14:paraId="3C93C05F" w14:textId="77777777" w:rsidR="009C2934" w:rsidRPr="00471560" w:rsidRDefault="009C2934" w:rsidP="00C51C55">
            <w:pPr>
              <w:pStyle w:val="Contenido1"/>
            </w:pPr>
            <w:r w:rsidRPr="00471560">
              <w:t>Servicio de vigilancia con 31 elementos de 12 horas cada uno cubriendo las 24 horas, los 365 días del año en las instalaciones del INECOL Xalapa; y un elemento de 24 horas los fines de semana en la estación CICOLMA de la Mancha, Ver.</w:t>
            </w:r>
          </w:p>
        </w:tc>
        <w:tc>
          <w:tcPr>
            <w:tcW w:w="3118" w:type="dxa"/>
            <w:tcBorders>
              <w:top w:val="single" w:sz="4" w:space="0" w:color="auto"/>
              <w:bottom w:val="single" w:sz="4" w:space="0" w:color="auto"/>
            </w:tcBorders>
            <w:shd w:val="clear" w:color="auto" w:fill="auto"/>
            <w:vAlign w:val="center"/>
          </w:tcPr>
          <w:p w14:paraId="0B47C5F2"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2,785.22.</w:t>
            </w:r>
          </w:p>
        </w:tc>
        <w:tc>
          <w:tcPr>
            <w:tcW w:w="1560" w:type="dxa"/>
            <w:shd w:val="clear" w:color="auto" w:fill="auto"/>
            <w:vAlign w:val="center"/>
          </w:tcPr>
          <w:p w14:paraId="5B8188B0" w14:textId="77777777" w:rsidR="009C2934" w:rsidRPr="00471560" w:rsidRDefault="009C2934" w:rsidP="00C51C55">
            <w:pPr>
              <w:pStyle w:val="Contenido1"/>
              <w:jc w:val="center"/>
            </w:pPr>
            <w:r w:rsidRPr="00471560">
              <w:t>1</w:t>
            </w:r>
          </w:p>
        </w:tc>
      </w:tr>
      <w:tr w:rsidR="009C2934" w:rsidRPr="00471560" w14:paraId="252C5758" w14:textId="77777777" w:rsidTr="00E373D4">
        <w:trPr>
          <w:trHeight w:val="70"/>
          <w:jc w:val="center"/>
        </w:trPr>
        <w:tc>
          <w:tcPr>
            <w:tcW w:w="1270" w:type="dxa"/>
            <w:vMerge/>
            <w:shd w:val="clear" w:color="auto" w:fill="auto"/>
            <w:vAlign w:val="center"/>
          </w:tcPr>
          <w:p w14:paraId="3FF01EF4" w14:textId="77777777" w:rsidR="009C2934" w:rsidRPr="00471560" w:rsidRDefault="009C2934" w:rsidP="00C51C55">
            <w:pPr>
              <w:spacing w:before="0" w:after="0"/>
              <w:jc w:val="center"/>
              <w:rPr>
                <w:rFonts w:cs="Calibri"/>
                <w:szCs w:val="18"/>
              </w:rPr>
            </w:pPr>
          </w:p>
        </w:tc>
        <w:tc>
          <w:tcPr>
            <w:tcW w:w="1275" w:type="dxa"/>
            <w:vMerge/>
            <w:shd w:val="clear" w:color="auto" w:fill="auto"/>
            <w:vAlign w:val="center"/>
          </w:tcPr>
          <w:p w14:paraId="79E0465C" w14:textId="77777777" w:rsidR="009C2934" w:rsidRPr="00471560" w:rsidRDefault="009C2934" w:rsidP="00C51C55">
            <w:pPr>
              <w:spacing w:before="0" w:after="0"/>
              <w:jc w:val="center"/>
              <w:rPr>
                <w:rFonts w:cs="Calibri"/>
                <w:szCs w:val="18"/>
              </w:rPr>
            </w:pPr>
          </w:p>
        </w:tc>
        <w:tc>
          <w:tcPr>
            <w:tcW w:w="3404" w:type="dxa"/>
            <w:tcBorders>
              <w:top w:val="single" w:sz="4" w:space="0" w:color="auto"/>
              <w:bottom w:val="single" w:sz="4" w:space="0" w:color="auto"/>
            </w:tcBorders>
            <w:shd w:val="clear" w:color="auto" w:fill="auto"/>
            <w:vAlign w:val="center"/>
          </w:tcPr>
          <w:p w14:paraId="2BF841D1" w14:textId="77777777" w:rsidR="009C2934" w:rsidRPr="00471560" w:rsidRDefault="009C2934" w:rsidP="00C51C55">
            <w:pPr>
              <w:pStyle w:val="Contenido1"/>
            </w:pPr>
            <w:r w:rsidRPr="00471560">
              <w:t>Servicio de diseño, impresión, aplicación y calificación de aproximadamente 100 exámenes de inglés para los aspirantes que ingresan al Posgrado en la Convocatoria 2024</w:t>
            </w:r>
          </w:p>
        </w:tc>
        <w:tc>
          <w:tcPr>
            <w:tcW w:w="3118" w:type="dxa"/>
            <w:tcBorders>
              <w:top w:val="single" w:sz="4" w:space="0" w:color="auto"/>
              <w:bottom w:val="single" w:sz="4" w:space="0" w:color="auto"/>
            </w:tcBorders>
            <w:shd w:val="clear" w:color="auto" w:fill="auto"/>
            <w:vAlign w:val="center"/>
          </w:tcPr>
          <w:p w14:paraId="6E01B548"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53.35.</w:t>
            </w:r>
          </w:p>
        </w:tc>
        <w:tc>
          <w:tcPr>
            <w:tcW w:w="1560" w:type="dxa"/>
            <w:shd w:val="clear" w:color="auto" w:fill="auto"/>
            <w:vAlign w:val="center"/>
          </w:tcPr>
          <w:p w14:paraId="52947A80" w14:textId="77777777" w:rsidR="009C2934" w:rsidRPr="00471560" w:rsidRDefault="009C2934" w:rsidP="00C51C55">
            <w:pPr>
              <w:pStyle w:val="Contenido1"/>
              <w:jc w:val="center"/>
            </w:pPr>
            <w:r w:rsidRPr="00471560">
              <w:t>1</w:t>
            </w:r>
          </w:p>
        </w:tc>
      </w:tr>
      <w:tr w:rsidR="009C2934" w:rsidRPr="00471560" w14:paraId="5E838490" w14:textId="77777777" w:rsidTr="00E373D4">
        <w:trPr>
          <w:trHeight w:val="1094"/>
          <w:jc w:val="center"/>
        </w:trPr>
        <w:tc>
          <w:tcPr>
            <w:tcW w:w="1270" w:type="dxa"/>
            <w:vMerge/>
            <w:shd w:val="clear" w:color="auto" w:fill="auto"/>
            <w:vAlign w:val="center"/>
          </w:tcPr>
          <w:p w14:paraId="311F9274" w14:textId="77777777" w:rsidR="009C2934" w:rsidRPr="00471560" w:rsidRDefault="009C2934" w:rsidP="00C51C55">
            <w:pPr>
              <w:spacing w:before="0" w:after="0"/>
              <w:jc w:val="center"/>
              <w:rPr>
                <w:rFonts w:cs="Calibri"/>
                <w:szCs w:val="18"/>
              </w:rPr>
            </w:pPr>
          </w:p>
        </w:tc>
        <w:tc>
          <w:tcPr>
            <w:tcW w:w="1275" w:type="dxa"/>
            <w:vMerge/>
            <w:shd w:val="clear" w:color="auto" w:fill="auto"/>
            <w:vAlign w:val="center"/>
          </w:tcPr>
          <w:p w14:paraId="23422A8F" w14:textId="77777777" w:rsidR="009C2934" w:rsidRPr="00471560" w:rsidRDefault="009C2934" w:rsidP="00C51C55">
            <w:pPr>
              <w:spacing w:before="0" w:after="0"/>
              <w:jc w:val="center"/>
              <w:rPr>
                <w:rFonts w:cs="Calibri"/>
                <w:szCs w:val="18"/>
              </w:rPr>
            </w:pPr>
          </w:p>
        </w:tc>
        <w:tc>
          <w:tcPr>
            <w:tcW w:w="3404" w:type="dxa"/>
            <w:tcBorders>
              <w:top w:val="single" w:sz="4" w:space="0" w:color="auto"/>
            </w:tcBorders>
            <w:shd w:val="clear" w:color="auto" w:fill="auto"/>
            <w:vAlign w:val="center"/>
          </w:tcPr>
          <w:p w14:paraId="3C676F30" w14:textId="77777777" w:rsidR="009C2934" w:rsidRPr="00471560" w:rsidRDefault="009C2934" w:rsidP="00C51C55">
            <w:pPr>
              <w:pStyle w:val="Contenido1"/>
            </w:pPr>
            <w:r w:rsidRPr="00471560">
              <w:t>Renovación de 550 licencias de antivirus institucional Avast Business Security</w:t>
            </w:r>
          </w:p>
        </w:tc>
        <w:tc>
          <w:tcPr>
            <w:tcW w:w="3118" w:type="dxa"/>
            <w:tcBorders>
              <w:top w:val="single" w:sz="4" w:space="0" w:color="auto"/>
            </w:tcBorders>
            <w:shd w:val="clear" w:color="auto" w:fill="auto"/>
            <w:vAlign w:val="center"/>
          </w:tcPr>
          <w:p w14:paraId="672169F7"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159.14.</w:t>
            </w:r>
          </w:p>
        </w:tc>
        <w:tc>
          <w:tcPr>
            <w:tcW w:w="1560" w:type="dxa"/>
            <w:shd w:val="clear" w:color="auto" w:fill="auto"/>
            <w:vAlign w:val="center"/>
          </w:tcPr>
          <w:p w14:paraId="07EB074B" w14:textId="77777777" w:rsidR="009C2934" w:rsidRPr="00471560" w:rsidRDefault="009C2934" w:rsidP="00C51C55">
            <w:pPr>
              <w:pStyle w:val="Contenido1"/>
              <w:jc w:val="center"/>
            </w:pPr>
            <w:r w:rsidRPr="00471560">
              <w:t>1</w:t>
            </w:r>
          </w:p>
        </w:tc>
      </w:tr>
      <w:tr w:rsidR="009C2934" w:rsidRPr="00471560" w14:paraId="2D2A4FBE" w14:textId="77777777" w:rsidTr="00E373D4">
        <w:trPr>
          <w:trHeight w:val="70"/>
          <w:jc w:val="center"/>
        </w:trPr>
        <w:tc>
          <w:tcPr>
            <w:tcW w:w="1270" w:type="dxa"/>
            <w:vMerge/>
            <w:shd w:val="clear" w:color="auto" w:fill="auto"/>
            <w:vAlign w:val="center"/>
          </w:tcPr>
          <w:p w14:paraId="76816A9E" w14:textId="77777777" w:rsidR="009C2934" w:rsidRPr="00471560" w:rsidRDefault="009C2934" w:rsidP="00C51C55">
            <w:pPr>
              <w:pStyle w:val="Textoindependiente"/>
              <w:jc w:val="center"/>
              <w:rPr>
                <w:rFonts w:ascii="Montserrat" w:eastAsia="MS Mincho" w:hAnsi="Montserrat" w:cstheme="minorBidi"/>
                <w:sz w:val="18"/>
                <w:szCs w:val="18"/>
                <w:lang w:val="es-ES_tradnl"/>
              </w:rPr>
            </w:pPr>
          </w:p>
        </w:tc>
        <w:tc>
          <w:tcPr>
            <w:tcW w:w="1275" w:type="dxa"/>
            <w:vMerge/>
            <w:shd w:val="clear" w:color="auto" w:fill="auto"/>
            <w:vAlign w:val="center"/>
          </w:tcPr>
          <w:p w14:paraId="5DE41539" w14:textId="77777777" w:rsidR="009C2934" w:rsidRPr="00471560" w:rsidRDefault="009C2934" w:rsidP="00C51C55">
            <w:pPr>
              <w:pStyle w:val="Textoindependiente"/>
              <w:jc w:val="center"/>
              <w:rPr>
                <w:rFonts w:ascii="Montserrat" w:eastAsia="MS Mincho" w:hAnsi="Montserrat" w:cstheme="minorBidi"/>
                <w:sz w:val="18"/>
                <w:szCs w:val="18"/>
                <w:lang w:val="es-ES_tradnl"/>
              </w:rPr>
            </w:pPr>
          </w:p>
        </w:tc>
        <w:tc>
          <w:tcPr>
            <w:tcW w:w="3404" w:type="dxa"/>
            <w:tcBorders>
              <w:top w:val="single" w:sz="4" w:space="0" w:color="auto"/>
              <w:bottom w:val="single" w:sz="4" w:space="0" w:color="auto"/>
            </w:tcBorders>
            <w:shd w:val="clear" w:color="auto" w:fill="auto"/>
            <w:vAlign w:val="center"/>
          </w:tcPr>
          <w:p w14:paraId="120F2638" w14:textId="504F018C" w:rsidR="009C2934" w:rsidRPr="00471560" w:rsidRDefault="009C2934" w:rsidP="00C51C55">
            <w:pPr>
              <w:pStyle w:val="Contenido1"/>
            </w:pPr>
            <w:r w:rsidRPr="00471560">
              <w:t>Mensajería y paquetería de envíos nacionales de diferentes gramajes.</w:t>
            </w:r>
          </w:p>
        </w:tc>
        <w:tc>
          <w:tcPr>
            <w:tcW w:w="3118" w:type="dxa"/>
            <w:tcBorders>
              <w:top w:val="single" w:sz="4" w:space="0" w:color="auto"/>
              <w:bottom w:val="single" w:sz="4" w:space="0" w:color="auto"/>
            </w:tcBorders>
            <w:shd w:val="clear" w:color="auto" w:fill="auto"/>
            <w:vAlign w:val="center"/>
          </w:tcPr>
          <w:p w14:paraId="6A39E525"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123.19.</w:t>
            </w:r>
          </w:p>
        </w:tc>
        <w:tc>
          <w:tcPr>
            <w:tcW w:w="1560" w:type="dxa"/>
            <w:shd w:val="clear" w:color="auto" w:fill="auto"/>
            <w:vAlign w:val="center"/>
          </w:tcPr>
          <w:p w14:paraId="4A189C20" w14:textId="77777777" w:rsidR="009C2934" w:rsidRPr="00471560" w:rsidRDefault="009C2934" w:rsidP="00C51C55">
            <w:pPr>
              <w:pStyle w:val="Contenido1"/>
              <w:jc w:val="center"/>
            </w:pPr>
            <w:r w:rsidRPr="00471560">
              <w:t>1</w:t>
            </w:r>
          </w:p>
        </w:tc>
      </w:tr>
      <w:tr w:rsidR="009C2934" w:rsidRPr="00471560" w14:paraId="0F1B6952" w14:textId="77777777" w:rsidTr="00E373D4">
        <w:trPr>
          <w:trHeight w:val="70"/>
          <w:jc w:val="center"/>
        </w:trPr>
        <w:tc>
          <w:tcPr>
            <w:tcW w:w="1270" w:type="dxa"/>
            <w:vMerge/>
            <w:shd w:val="clear" w:color="auto" w:fill="auto"/>
            <w:vAlign w:val="center"/>
          </w:tcPr>
          <w:p w14:paraId="4B41F6E0" w14:textId="77777777" w:rsidR="009C2934" w:rsidRPr="00471560" w:rsidRDefault="009C2934" w:rsidP="00C51C55">
            <w:pPr>
              <w:pStyle w:val="Textoindependiente"/>
              <w:jc w:val="center"/>
              <w:rPr>
                <w:rFonts w:ascii="Montserrat" w:eastAsia="MS Mincho" w:hAnsi="Montserrat" w:cstheme="minorBidi"/>
                <w:sz w:val="18"/>
                <w:szCs w:val="18"/>
                <w:lang w:val="es-ES_tradnl"/>
              </w:rPr>
            </w:pPr>
          </w:p>
        </w:tc>
        <w:tc>
          <w:tcPr>
            <w:tcW w:w="1275" w:type="dxa"/>
            <w:vMerge/>
            <w:shd w:val="clear" w:color="auto" w:fill="auto"/>
            <w:vAlign w:val="center"/>
          </w:tcPr>
          <w:p w14:paraId="3CA8DAD3" w14:textId="77777777" w:rsidR="009C2934" w:rsidRPr="00471560" w:rsidRDefault="009C2934" w:rsidP="00C51C55">
            <w:pPr>
              <w:pStyle w:val="Textoindependiente"/>
              <w:jc w:val="center"/>
              <w:rPr>
                <w:rFonts w:ascii="Montserrat" w:eastAsia="MS Mincho" w:hAnsi="Montserrat" w:cstheme="minorBidi"/>
                <w:sz w:val="18"/>
                <w:szCs w:val="18"/>
                <w:lang w:val="es-ES_tradnl"/>
              </w:rPr>
            </w:pPr>
          </w:p>
        </w:tc>
        <w:tc>
          <w:tcPr>
            <w:tcW w:w="3404" w:type="dxa"/>
            <w:tcBorders>
              <w:top w:val="single" w:sz="4" w:space="0" w:color="auto"/>
              <w:bottom w:val="single" w:sz="4" w:space="0" w:color="auto"/>
            </w:tcBorders>
            <w:shd w:val="clear" w:color="auto" w:fill="auto"/>
            <w:vAlign w:val="center"/>
          </w:tcPr>
          <w:p w14:paraId="34DF9643" w14:textId="77777777" w:rsidR="009C2934" w:rsidRPr="00471560" w:rsidRDefault="009C2934" w:rsidP="00C51C55">
            <w:pPr>
              <w:pStyle w:val="Contenido1"/>
            </w:pPr>
            <w:r w:rsidRPr="00471560">
              <w:t xml:space="preserve">Actualización a tablero de control de planta de emergencia de 40 </w:t>
            </w:r>
            <w:proofErr w:type="spellStart"/>
            <w:r w:rsidRPr="00471560">
              <w:t>Kw</w:t>
            </w:r>
            <w:proofErr w:type="spellEnd"/>
            <w:r w:rsidRPr="00471560">
              <w:t xml:space="preserve"> consistente en cambio de controlador deepsea 4520, cambio de cargador de baterías, cableado de motor a tablero de transferencia como cambio de senders de presión de aceite, así como, el de temperatura y todo lo requerido para su correcta operación, ello para que pueda seguir funcionando correctamente la planta de emergencia de la mancha.</w:t>
            </w:r>
          </w:p>
        </w:tc>
        <w:tc>
          <w:tcPr>
            <w:tcW w:w="3118" w:type="dxa"/>
            <w:tcBorders>
              <w:top w:val="single" w:sz="4" w:space="0" w:color="auto"/>
              <w:bottom w:val="single" w:sz="4" w:space="0" w:color="auto"/>
            </w:tcBorders>
            <w:shd w:val="clear" w:color="auto" w:fill="auto"/>
            <w:vAlign w:val="center"/>
          </w:tcPr>
          <w:p w14:paraId="0094585E"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68.32.</w:t>
            </w:r>
          </w:p>
        </w:tc>
        <w:tc>
          <w:tcPr>
            <w:tcW w:w="1560" w:type="dxa"/>
            <w:shd w:val="clear" w:color="auto" w:fill="auto"/>
            <w:vAlign w:val="center"/>
          </w:tcPr>
          <w:p w14:paraId="560EC153" w14:textId="77777777" w:rsidR="009C2934" w:rsidRPr="00471560" w:rsidRDefault="009C2934" w:rsidP="00C51C55">
            <w:pPr>
              <w:pStyle w:val="Contenido1"/>
              <w:jc w:val="center"/>
            </w:pPr>
            <w:r w:rsidRPr="00471560">
              <w:t>1</w:t>
            </w:r>
          </w:p>
        </w:tc>
      </w:tr>
      <w:tr w:rsidR="009C2934" w:rsidRPr="00471560" w14:paraId="7FC5B8AC" w14:textId="77777777" w:rsidTr="00E373D4">
        <w:trPr>
          <w:trHeight w:val="70"/>
          <w:jc w:val="center"/>
        </w:trPr>
        <w:tc>
          <w:tcPr>
            <w:tcW w:w="1270" w:type="dxa"/>
            <w:vMerge/>
            <w:shd w:val="clear" w:color="auto" w:fill="auto"/>
            <w:vAlign w:val="center"/>
          </w:tcPr>
          <w:p w14:paraId="29A41767" w14:textId="77777777" w:rsidR="009C2934" w:rsidRPr="00471560" w:rsidRDefault="009C2934" w:rsidP="00C51C55">
            <w:pPr>
              <w:pStyle w:val="Textoindependiente"/>
              <w:jc w:val="center"/>
              <w:rPr>
                <w:rFonts w:ascii="Montserrat" w:eastAsia="MS Mincho" w:hAnsi="Montserrat" w:cstheme="minorBidi"/>
                <w:sz w:val="18"/>
                <w:szCs w:val="18"/>
                <w:lang w:val="es-ES_tradnl"/>
              </w:rPr>
            </w:pPr>
          </w:p>
        </w:tc>
        <w:tc>
          <w:tcPr>
            <w:tcW w:w="1275" w:type="dxa"/>
            <w:vMerge/>
            <w:shd w:val="clear" w:color="auto" w:fill="auto"/>
            <w:vAlign w:val="center"/>
          </w:tcPr>
          <w:p w14:paraId="17228F21" w14:textId="77777777" w:rsidR="009C2934" w:rsidRPr="00471560" w:rsidRDefault="009C2934" w:rsidP="00C51C55">
            <w:pPr>
              <w:pStyle w:val="Textoindependiente"/>
              <w:jc w:val="center"/>
              <w:rPr>
                <w:rFonts w:ascii="Montserrat" w:eastAsia="MS Mincho" w:hAnsi="Montserrat" w:cstheme="minorBidi"/>
                <w:sz w:val="18"/>
                <w:szCs w:val="18"/>
                <w:lang w:val="es-ES_tradnl"/>
              </w:rPr>
            </w:pPr>
          </w:p>
        </w:tc>
        <w:tc>
          <w:tcPr>
            <w:tcW w:w="3404" w:type="dxa"/>
            <w:tcBorders>
              <w:top w:val="single" w:sz="4" w:space="0" w:color="auto"/>
              <w:bottom w:val="single" w:sz="4" w:space="0" w:color="auto"/>
            </w:tcBorders>
            <w:shd w:val="clear" w:color="auto" w:fill="auto"/>
            <w:vAlign w:val="center"/>
          </w:tcPr>
          <w:p w14:paraId="23D9AE1F" w14:textId="77777777" w:rsidR="009C2934" w:rsidRPr="00471560" w:rsidRDefault="009C2934" w:rsidP="00C51C55">
            <w:pPr>
              <w:pStyle w:val="Contenido1"/>
            </w:pPr>
            <w:r w:rsidRPr="00471560">
              <w:t>Obras de mantenimiento de un predio rústico ubicado en el municipio de Mahoma, Zacatecas, utilizando riegos de auxilio y supervisión y en su caso reparación del cerco perimetral.</w:t>
            </w:r>
            <w:r w:rsidRPr="00471560">
              <w:br w:type="page"/>
              <w:t xml:space="preserve">Realizar obras de mantenimiento para compensar las posibles afectaciones a la reforestación de la segunda etapa ciclo 2023 causada por las condiciones climatológicas que se hayan presentado posterior a su establecimiento en el Parque Eólico Vientos del Altiplano de Enel Green Power, mediante riegos de auxilio, deshierbe y </w:t>
            </w:r>
            <w:proofErr w:type="spellStart"/>
            <w:r w:rsidRPr="00471560">
              <w:t>cajeteo</w:t>
            </w:r>
            <w:proofErr w:type="spellEnd"/>
            <w:r w:rsidRPr="00471560">
              <w:t xml:space="preserve"> en el área de Influencia del proyecto.</w:t>
            </w:r>
            <w:r w:rsidRPr="00471560">
              <w:br w:type="page"/>
              <w:t xml:space="preserve">Realizar riego de auxilio que contempla 11,550 plantas de las especies de </w:t>
            </w:r>
            <w:proofErr w:type="spellStart"/>
            <w:r w:rsidRPr="00471560">
              <w:t>Prosopis</w:t>
            </w:r>
            <w:proofErr w:type="spellEnd"/>
            <w:r w:rsidRPr="00471560">
              <w:t xml:space="preserve"> </w:t>
            </w:r>
            <w:proofErr w:type="spellStart"/>
            <w:r w:rsidRPr="00471560">
              <w:t>Laevigata</w:t>
            </w:r>
            <w:proofErr w:type="spellEnd"/>
            <w:r w:rsidRPr="00471560">
              <w:t xml:space="preserve">, </w:t>
            </w:r>
            <w:proofErr w:type="spellStart"/>
            <w:r w:rsidRPr="00471560">
              <w:t>Yucca</w:t>
            </w:r>
            <w:proofErr w:type="spellEnd"/>
            <w:r w:rsidRPr="00471560">
              <w:t xml:space="preserve"> ti/itera y </w:t>
            </w:r>
            <w:proofErr w:type="spellStart"/>
            <w:r w:rsidRPr="00471560">
              <w:t>Nolina</w:t>
            </w:r>
            <w:proofErr w:type="spellEnd"/>
            <w:r w:rsidRPr="00471560">
              <w:t xml:space="preserve"> </w:t>
            </w:r>
            <w:proofErr w:type="spellStart"/>
            <w:r w:rsidRPr="00471560">
              <w:t>cespititera</w:t>
            </w:r>
            <w:proofErr w:type="spellEnd"/>
            <w:r w:rsidRPr="00471560">
              <w:t>, que corresponde al 35.53% a una superficie equivalente a 50.00 hectáreas del ciclo 2023.</w:t>
            </w:r>
            <w:r w:rsidRPr="00471560">
              <w:br w:type="page"/>
              <w:t>Recorrido de supervisor en el área perimetral de las 100 hectáreas para detectar si en el cerco perimetral hay alguna anomalía y restaurar para su buen funcionamiento.</w:t>
            </w:r>
            <w:r w:rsidRPr="00471560">
              <w:br w:type="page"/>
            </w:r>
            <w:proofErr w:type="spellStart"/>
            <w:r w:rsidRPr="00471560">
              <w:t>Cajeteo</w:t>
            </w:r>
            <w:proofErr w:type="spellEnd"/>
            <w:r w:rsidRPr="00471560">
              <w:t xml:space="preserve"> para captación del agua de especies y deshierbe de Prosapia </w:t>
            </w:r>
            <w:proofErr w:type="spellStart"/>
            <w:r w:rsidRPr="00471560">
              <w:t>Laevigata</w:t>
            </w:r>
            <w:proofErr w:type="spellEnd"/>
            <w:r w:rsidRPr="00471560">
              <w:t xml:space="preserve">, </w:t>
            </w:r>
            <w:proofErr w:type="spellStart"/>
            <w:r w:rsidRPr="00471560">
              <w:t>Yucca</w:t>
            </w:r>
            <w:proofErr w:type="spellEnd"/>
            <w:r w:rsidRPr="00471560">
              <w:t xml:space="preserve"> </w:t>
            </w:r>
            <w:proofErr w:type="spellStart"/>
            <w:r w:rsidRPr="00471560">
              <w:t>filifera</w:t>
            </w:r>
            <w:proofErr w:type="spellEnd"/>
            <w:r w:rsidRPr="00471560">
              <w:t xml:space="preserve"> y </w:t>
            </w:r>
            <w:proofErr w:type="spellStart"/>
            <w:r w:rsidRPr="00471560">
              <w:t>Nolina</w:t>
            </w:r>
            <w:proofErr w:type="spellEnd"/>
            <w:r w:rsidRPr="00471560">
              <w:t xml:space="preserve"> </w:t>
            </w:r>
            <w:proofErr w:type="spellStart"/>
            <w:r w:rsidRPr="00471560">
              <w:t>cespitifera</w:t>
            </w:r>
            <w:proofErr w:type="spellEnd"/>
            <w:r w:rsidRPr="00471560">
              <w:t xml:space="preserve"> de la zona de reforestación 2023.</w:t>
            </w:r>
          </w:p>
        </w:tc>
        <w:tc>
          <w:tcPr>
            <w:tcW w:w="3118" w:type="dxa"/>
            <w:tcBorders>
              <w:top w:val="single" w:sz="4" w:space="0" w:color="auto"/>
              <w:bottom w:val="single" w:sz="4" w:space="0" w:color="auto"/>
            </w:tcBorders>
            <w:shd w:val="clear" w:color="auto" w:fill="auto"/>
            <w:vAlign w:val="center"/>
          </w:tcPr>
          <w:p w14:paraId="70F99986"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propios por 290.00.</w:t>
            </w:r>
          </w:p>
        </w:tc>
        <w:tc>
          <w:tcPr>
            <w:tcW w:w="1560" w:type="dxa"/>
            <w:shd w:val="clear" w:color="auto" w:fill="auto"/>
            <w:vAlign w:val="center"/>
          </w:tcPr>
          <w:p w14:paraId="3283A7B6" w14:textId="77777777" w:rsidR="009C2934" w:rsidRPr="00471560" w:rsidRDefault="009C2934" w:rsidP="00C51C55">
            <w:pPr>
              <w:pStyle w:val="Contenido1"/>
              <w:jc w:val="center"/>
            </w:pPr>
            <w:r w:rsidRPr="00471560">
              <w:t>1</w:t>
            </w:r>
          </w:p>
        </w:tc>
      </w:tr>
      <w:tr w:rsidR="009C2934" w:rsidRPr="00471560" w14:paraId="45D15318" w14:textId="77777777" w:rsidTr="00E373D4">
        <w:trPr>
          <w:trHeight w:val="70"/>
          <w:jc w:val="center"/>
        </w:trPr>
        <w:tc>
          <w:tcPr>
            <w:tcW w:w="1270" w:type="dxa"/>
            <w:vMerge/>
            <w:shd w:val="clear" w:color="auto" w:fill="auto"/>
            <w:vAlign w:val="center"/>
          </w:tcPr>
          <w:p w14:paraId="5F4A8A3B"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49A5DB11"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7AD1E8A6" w14:textId="77777777" w:rsidR="009C2934" w:rsidRPr="00471560" w:rsidRDefault="009C2934" w:rsidP="00C51C55">
            <w:pPr>
              <w:pStyle w:val="Contenido1"/>
            </w:pPr>
            <w:r w:rsidRPr="00471560">
              <w:t>Servicio de mantenimiento y soporte técnico al Sistema Telefónico de comunicaciones unificadas NEC SV9300 y periféricos de comunicación interna, en el Instituto de Ecología, A.C.</w:t>
            </w:r>
          </w:p>
        </w:tc>
        <w:tc>
          <w:tcPr>
            <w:tcW w:w="3118" w:type="dxa"/>
            <w:tcBorders>
              <w:top w:val="single" w:sz="4" w:space="0" w:color="auto"/>
              <w:bottom w:val="single" w:sz="4" w:space="0" w:color="auto"/>
            </w:tcBorders>
            <w:shd w:val="clear" w:color="auto" w:fill="auto"/>
            <w:vAlign w:val="center"/>
          </w:tcPr>
          <w:p w14:paraId="61D72176"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646.54.</w:t>
            </w:r>
          </w:p>
        </w:tc>
        <w:tc>
          <w:tcPr>
            <w:tcW w:w="1560" w:type="dxa"/>
            <w:shd w:val="clear" w:color="auto" w:fill="auto"/>
            <w:vAlign w:val="center"/>
          </w:tcPr>
          <w:p w14:paraId="152BA122" w14:textId="77777777" w:rsidR="009C2934" w:rsidRPr="00471560" w:rsidRDefault="009C2934" w:rsidP="00C51C55">
            <w:pPr>
              <w:pStyle w:val="Contenido1"/>
              <w:jc w:val="center"/>
            </w:pPr>
            <w:r w:rsidRPr="00471560">
              <w:t>1</w:t>
            </w:r>
          </w:p>
        </w:tc>
      </w:tr>
      <w:tr w:rsidR="009C2934" w:rsidRPr="00471560" w14:paraId="2CAE3A1C" w14:textId="77777777" w:rsidTr="00E373D4">
        <w:trPr>
          <w:trHeight w:val="70"/>
          <w:jc w:val="center"/>
        </w:trPr>
        <w:tc>
          <w:tcPr>
            <w:tcW w:w="1270" w:type="dxa"/>
            <w:vMerge/>
            <w:shd w:val="clear" w:color="auto" w:fill="auto"/>
            <w:vAlign w:val="center"/>
          </w:tcPr>
          <w:p w14:paraId="0A6D8CF9"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27C5EA59"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6EBC3384" w14:textId="77777777" w:rsidR="009C2934" w:rsidRPr="00471560" w:rsidRDefault="009C2934" w:rsidP="00C51C55">
            <w:pPr>
              <w:pStyle w:val="Contenido1"/>
            </w:pPr>
            <w:r w:rsidRPr="00471560">
              <w:t>Servicio de internet dedicado y telefonía IP para las instalaciones del Instituto de Ecología, A.C., ubicadas en Pátzcuaro, Mich.</w:t>
            </w:r>
          </w:p>
        </w:tc>
        <w:tc>
          <w:tcPr>
            <w:tcW w:w="3118" w:type="dxa"/>
            <w:tcBorders>
              <w:top w:val="single" w:sz="4" w:space="0" w:color="auto"/>
              <w:bottom w:val="single" w:sz="4" w:space="0" w:color="auto"/>
            </w:tcBorders>
            <w:shd w:val="clear" w:color="auto" w:fill="auto"/>
            <w:vAlign w:val="center"/>
          </w:tcPr>
          <w:p w14:paraId="45115154"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82.13</w:t>
            </w:r>
          </w:p>
        </w:tc>
        <w:tc>
          <w:tcPr>
            <w:tcW w:w="1560" w:type="dxa"/>
            <w:shd w:val="clear" w:color="auto" w:fill="auto"/>
            <w:vAlign w:val="center"/>
          </w:tcPr>
          <w:p w14:paraId="4469DF74" w14:textId="77777777" w:rsidR="009C2934" w:rsidRPr="00471560" w:rsidRDefault="009C2934" w:rsidP="00C51C55">
            <w:pPr>
              <w:pStyle w:val="Contenido1"/>
              <w:jc w:val="center"/>
            </w:pPr>
            <w:r w:rsidRPr="00471560">
              <w:t>1</w:t>
            </w:r>
          </w:p>
        </w:tc>
      </w:tr>
      <w:tr w:rsidR="009C2934" w:rsidRPr="00471560" w14:paraId="066BBEC3" w14:textId="77777777" w:rsidTr="00E373D4">
        <w:trPr>
          <w:trHeight w:val="70"/>
          <w:jc w:val="center"/>
        </w:trPr>
        <w:tc>
          <w:tcPr>
            <w:tcW w:w="1270" w:type="dxa"/>
            <w:vMerge/>
            <w:shd w:val="clear" w:color="auto" w:fill="auto"/>
            <w:vAlign w:val="center"/>
          </w:tcPr>
          <w:p w14:paraId="32F81D43"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73876C0D"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2D493153" w14:textId="77777777" w:rsidR="009C2934" w:rsidRPr="00471560" w:rsidRDefault="009C2934" w:rsidP="00C51C55">
            <w:pPr>
              <w:pStyle w:val="Contenido1"/>
            </w:pPr>
            <w:r w:rsidRPr="00471560">
              <w:t>Servicio de internet dedicado y telefonía IP para las instalaciones del Instituto de Ecología, A.C., ubicadas en Cicolma La Mancha, Ver.</w:t>
            </w:r>
          </w:p>
        </w:tc>
        <w:tc>
          <w:tcPr>
            <w:tcW w:w="3118" w:type="dxa"/>
            <w:tcBorders>
              <w:top w:val="single" w:sz="4" w:space="0" w:color="auto"/>
              <w:bottom w:val="single" w:sz="4" w:space="0" w:color="auto"/>
            </w:tcBorders>
            <w:shd w:val="clear" w:color="auto" w:fill="auto"/>
            <w:vAlign w:val="center"/>
          </w:tcPr>
          <w:p w14:paraId="6BF607B4"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123.12.</w:t>
            </w:r>
          </w:p>
        </w:tc>
        <w:tc>
          <w:tcPr>
            <w:tcW w:w="1560" w:type="dxa"/>
            <w:shd w:val="clear" w:color="auto" w:fill="auto"/>
            <w:vAlign w:val="center"/>
          </w:tcPr>
          <w:p w14:paraId="58927A54" w14:textId="77777777" w:rsidR="009C2934" w:rsidRPr="00471560" w:rsidRDefault="009C2934" w:rsidP="00C51C55">
            <w:pPr>
              <w:pStyle w:val="Contenido1"/>
              <w:jc w:val="center"/>
            </w:pPr>
            <w:r w:rsidRPr="00471560">
              <w:t>1</w:t>
            </w:r>
          </w:p>
        </w:tc>
      </w:tr>
      <w:tr w:rsidR="009C2934" w:rsidRPr="00471560" w14:paraId="46F23BFF" w14:textId="77777777" w:rsidTr="00E373D4">
        <w:trPr>
          <w:trHeight w:val="70"/>
          <w:jc w:val="center"/>
        </w:trPr>
        <w:tc>
          <w:tcPr>
            <w:tcW w:w="1270" w:type="dxa"/>
            <w:vMerge/>
            <w:shd w:val="clear" w:color="auto" w:fill="auto"/>
            <w:vAlign w:val="center"/>
          </w:tcPr>
          <w:p w14:paraId="6E81F4F0"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0A9E7A93"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7CD115B7" w14:textId="77777777" w:rsidR="009C2934" w:rsidRPr="00471560" w:rsidRDefault="009C2934" w:rsidP="00C51C55">
            <w:pPr>
              <w:pStyle w:val="Contenido1"/>
            </w:pPr>
            <w:r w:rsidRPr="00471560">
              <w:t>Servicio de manejo integral de residuos peligroso (químico, RPBI y de mantenimiento), el cual comprende desde la recolección interna de residuos en cada laboratorio, envasado, etiquetado, transporte y/o disposición final. El servicio también incluye actividades de orden y limpieza de almacén temporal, así como el suministro de insumos (contenedores y etiquetas). En los campus I, II y III del INECOL.</w:t>
            </w:r>
          </w:p>
        </w:tc>
        <w:tc>
          <w:tcPr>
            <w:tcW w:w="3118" w:type="dxa"/>
            <w:tcBorders>
              <w:top w:val="single" w:sz="4" w:space="0" w:color="auto"/>
              <w:bottom w:val="single" w:sz="4" w:space="0" w:color="auto"/>
            </w:tcBorders>
            <w:shd w:val="clear" w:color="auto" w:fill="auto"/>
            <w:vAlign w:val="center"/>
          </w:tcPr>
          <w:p w14:paraId="7C3B1625"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175.71.</w:t>
            </w:r>
          </w:p>
        </w:tc>
        <w:tc>
          <w:tcPr>
            <w:tcW w:w="1560" w:type="dxa"/>
            <w:shd w:val="clear" w:color="auto" w:fill="auto"/>
            <w:vAlign w:val="center"/>
          </w:tcPr>
          <w:p w14:paraId="01CD95A3" w14:textId="77777777" w:rsidR="009C2934" w:rsidRPr="00471560" w:rsidRDefault="009C2934" w:rsidP="00C51C55">
            <w:pPr>
              <w:pStyle w:val="Contenido1"/>
              <w:jc w:val="center"/>
            </w:pPr>
            <w:r w:rsidRPr="00471560">
              <w:t>1</w:t>
            </w:r>
          </w:p>
        </w:tc>
      </w:tr>
      <w:tr w:rsidR="009C2934" w:rsidRPr="00471560" w14:paraId="048F3CE5" w14:textId="77777777" w:rsidTr="00E373D4">
        <w:trPr>
          <w:trHeight w:val="70"/>
          <w:jc w:val="center"/>
        </w:trPr>
        <w:tc>
          <w:tcPr>
            <w:tcW w:w="1270" w:type="dxa"/>
            <w:vMerge w:val="restart"/>
            <w:shd w:val="clear" w:color="auto" w:fill="auto"/>
            <w:vAlign w:val="center"/>
          </w:tcPr>
          <w:p w14:paraId="55F47ECD" w14:textId="77777777" w:rsidR="009C2934" w:rsidRPr="00C45FF1" w:rsidRDefault="009C2934" w:rsidP="00C51C55">
            <w:pPr>
              <w:pStyle w:val="Contenido1"/>
              <w:jc w:val="center"/>
            </w:pPr>
            <w:r w:rsidRPr="00C45FF1">
              <w:t>VII</w:t>
            </w:r>
          </w:p>
        </w:tc>
        <w:tc>
          <w:tcPr>
            <w:tcW w:w="1275" w:type="dxa"/>
            <w:vMerge w:val="restart"/>
            <w:shd w:val="clear" w:color="auto" w:fill="auto"/>
            <w:vAlign w:val="center"/>
          </w:tcPr>
          <w:p w14:paraId="1FB17529" w14:textId="77777777" w:rsidR="009C2934" w:rsidRPr="00C45FF1" w:rsidRDefault="009C2934" w:rsidP="00C51C55">
            <w:pPr>
              <w:pStyle w:val="Contenido1"/>
              <w:jc w:val="center"/>
            </w:pPr>
            <w:r w:rsidRPr="00C45FF1">
              <w:t>1,913.20</w:t>
            </w:r>
          </w:p>
        </w:tc>
        <w:tc>
          <w:tcPr>
            <w:tcW w:w="3404" w:type="dxa"/>
            <w:tcBorders>
              <w:top w:val="single" w:sz="4" w:space="0" w:color="auto"/>
              <w:bottom w:val="single" w:sz="4" w:space="0" w:color="auto"/>
            </w:tcBorders>
            <w:shd w:val="clear" w:color="auto" w:fill="auto"/>
            <w:vAlign w:val="center"/>
          </w:tcPr>
          <w:p w14:paraId="75E874F1" w14:textId="77777777" w:rsidR="009C2934" w:rsidRPr="00471560" w:rsidRDefault="009C2934" w:rsidP="00C51C55">
            <w:pPr>
              <w:pStyle w:val="Contenido1"/>
            </w:pPr>
            <w:r w:rsidRPr="00471560">
              <w:t>Aseguramiento de los Bienes Patrimoniales del INECOL 2023-2024</w:t>
            </w:r>
          </w:p>
        </w:tc>
        <w:tc>
          <w:tcPr>
            <w:tcW w:w="3118" w:type="dxa"/>
            <w:tcBorders>
              <w:top w:val="single" w:sz="4" w:space="0" w:color="auto"/>
              <w:bottom w:val="single" w:sz="4" w:space="0" w:color="auto"/>
            </w:tcBorders>
            <w:shd w:val="clear" w:color="auto" w:fill="auto"/>
            <w:vAlign w:val="center"/>
          </w:tcPr>
          <w:p w14:paraId="71DB3397"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1,507.04.</w:t>
            </w:r>
          </w:p>
        </w:tc>
        <w:tc>
          <w:tcPr>
            <w:tcW w:w="1560" w:type="dxa"/>
            <w:shd w:val="clear" w:color="auto" w:fill="auto"/>
            <w:vAlign w:val="center"/>
          </w:tcPr>
          <w:p w14:paraId="01571362" w14:textId="77777777" w:rsidR="009C2934" w:rsidRPr="00471560" w:rsidRDefault="009C2934" w:rsidP="00C51C55">
            <w:pPr>
              <w:pStyle w:val="Contenido1"/>
              <w:jc w:val="center"/>
            </w:pPr>
            <w:r w:rsidRPr="00471560">
              <w:t>1</w:t>
            </w:r>
          </w:p>
        </w:tc>
      </w:tr>
      <w:tr w:rsidR="009C2934" w:rsidRPr="00471560" w14:paraId="280CE551" w14:textId="77777777" w:rsidTr="00E373D4">
        <w:trPr>
          <w:trHeight w:val="1196"/>
          <w:jc w:val="center"/>
        </w:trPr>
        <w:tc>
          <w:tcPr>
            <w:tcW w:w="1270" w:type="dxa"/>
            <w:vMerge/>
            <w:shd w:val="clear" w:color="auto" w:fill="auto"/>
            <w:vAlign w:val="center"/>
          </w:tcPr>
          <w:p w14:paraId="061FC9B4" w14:textId="77777777" w:rsidR="009C2934" w:rsidRPr="00471560" w:rsidRDefault="009C2934" w:rsidP="00C51C55">
            <w:pPr>
              <w:spacing w:before="0" w:after="0"/>
              <w:jc w:val="center"/>
              <w:rPr>
                <w:rFonts w:eastAsia="Calibri" w:cs="Times New Roman"/>
                <w:sz w:val="22"/>
              </w:rPr>
            </w:pPr>
          </w:p>
        </w:tc>
        <w:tc>
          <w:tcPr>
            <w:tcW w:w="1275" w:type="dxa"/>
            <w:vMerge/>
            <w:shd w:val="clear" w:color="auto" w:fill="auto"/>
            <w:vAlign w:val="center"/>
          </w:tcPr>
          <w:p w14:paraId="0C89B952" w14:textId="77777777" w:rsidR="009C2934" w:rsidRPr="00471560" w:rsidRDefault="009C2934" w:rsidP="00C51C55">
            <w:pPr>
              <w:spacing w:before="0" w:after="0"/>
              <w:jc w:val="center"/>
              <w:rPr>
                <w:rFonts w:eastAsia="Calibri" w:cs="Times New Roman"/>
                <w:sz w:val="22"/>
              </w:rPr>
            </w:pPr>
          </w:p>
        </w:tc>
        <w:tc>
          <w:tcPr>
            <w:tcW w:w="3404" w:type="dxa"/>
            <w:tcBorders>
              <w:top w:val="single" w:sz="4" w:space="0" w:color="auto"/>
              <w:bottom w:val="single" w:sz="4" w:space="0" w:color="auto"/>
            </w:tcBorders>
            <w:shd w:val="clear" w:color="auto" w:fill="auto"/>
            <w:vAlign w:val="center"/>
          </w:tcPr>
          <w:p w14:paraId="1A973877" w14:textId="77777777" w:rsidR="009C2934" w:rsidRPr="00471560" w:rsidRDefault="009C2934" w:rsidP="00C51C55">
            <w:pPr>
              <w:pStyle w:val="Contenido1"/>
            </w:pPr>
            <w:r w:rsidRPr="00471560">
              <w:t>Aseguramiento del parque vehicular del INECOL 2023-2024</w:t>
            </w:r>
          </w:p>
        </w:tc>
        <w:tc>
          <w:tcPr>
            <w:tcW w:w="3118" w:type="dxa"/>
            <w:tcBorders>
              <w:top w:val="single" w:sz="4" w:space="0" w:color="auto"/>
              <w:bottom w:val="single" w:sz="4" w:space="0" w:color="auto"/>
            </w:tcBorders>
            <w:shd w:val="clear" w:color="auto" w:fill="auto"/>
            <w:vAlign w:val="center"/>
          </w:tcPr>
          <w:p w14:paraId="365DDBB0"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109.31.</w:t>
            </w:r>
          </w:p>
        </w:tc>
        <w:tc>
          <w:tcPr>
            <w:tcW w:w="1560" w:type="dxa"/>
            <w:shd w:val="clear" w:color="auto" w:fill="auto"/>
            <w:vAlign w:val="center"/>
          </w:tcPr>
          <w:p w14:paraId="49C1BA17" w14:textId="77777777" w:rsidR="009C2934" w:rsidRPr="00471560" w:rsidRDefault="009C2934" w:rsidP="00C51C55">
            <w:pPr>
              <w:pStyle w:val="Contenido1"/>
              <w:jc w:val="center"/>
            </w:pPr>
            <w:r w:rsidRPr="00471560">
              <w:t>1</w:t>
            </w:r>
          </w:p>
        </w:tc>
      </w:tr>
      <w:tr w:rsidR="009C2934" w:rsidRPr="00471560" w14:paraId="6C9113B1" w14:textId="77777777" w:rsidTr="00E373D4">
        <w:trPr>
          <w:trHeight w:val="70"/>
          <w:jc w:val="center"/>
        </w:trPr>
        <w:tc>
          <w:tcPr>
            <w:tcW w:w="1270" w:type="dxa"/>
            <w:vMerge/>
            <w:shd w:val="clear" w:color="auto" w:fill="auto"/>
            <w:vAlign w:val="center"/>
          </w:tcPr>
          <w:p w14:paraId="11C6098E" w14:textId="77777777" w:rsidR="009C2934" w:rsidRPr="00471560" w:rsidRDefault="009C2934" w:rsidP="00C51C55">
            <w:pPr>
              <w:spacing w:before="0" w:after="0"/>
              <w:jc w:val="center"/>
              <w:rPr>
                <w:rFonts w:eastAsia="Calibri" w:cs="Times New Roman"/>
                <w:sz w:val="22"/>
              </w:rPr>
            </w:pPr>
          </w:p>
        </w:tc>
        <w:tc>
          <w:tcPr>
            <w:tcW w:w="1275" w:type="dxa"/>
            <w:vMerge/>
            <w:shd w:val="clear" w:color="auto" w:fill="auto"/>
            <w:vAlign w:val="center"/>
          </w:tcPr>
          <w:p w14:paraId="756937BE" w14:textId="77777777" w:rsidR="009C2934" w:rsidRPr="00471560" w:rsidRDefault="009C2934" w:rsidP="00C51C55">
            <w:pPr>
              <w:spacing w:before="0" w:after="0"/>
              <w:jc w:val="center"/>
              <w:rPr>
                <w:rFonts w:eastAsia="Calibri" w:cs="Times New Roman"/>
                <w:sz w:val="22"/>
              </w:rPr>
            </w:pPr>
          </w:p>
        </w:tc>
        <w:tc>
          <w:tcPr>
            <w:tcW w:w="3404" w:type="dxa"/>
            <w:tcBorders>
              <w:top w:val="single" w:sz="4" w:space="0" w:color="auto"/>
              <w:bottom w:val="single" w:sz="4" w:space="0" w:color="auto"/>
            </w:tcBorders>
            <w:shd w:val="clear" w:color="auto" w:fill="auto"/>
            <w:vAlign w:val="center"/>
          </w:tcPr>
          <w:p w14:paraId="608C65D6" w14:textId="77777777" w:rsidR="009C2934" w:rsidRPr="00471560" w:rsidRDefault="009C2934" w:rsidP="00C51C55">
            <w:pPr>
              <w:pStyle w:val="Contenido1"/>
            </w:pPr>
            <w:r w:rsidRPr="00471560">
              <w:t>Servicio de mantenimiento preventivo y correctivo a unidades vehiculares del INECOL</w:t>
            </w:r>
          </w:p>
        </w:tc>
        <w:tc>
          <w:tcPr>
            <w:tcW w:w="3118" w:type="dxa"/>
            <w:tcBorders>
              <w:top w:val="single" w:sz="4" w:space="0" w:color="auto"/>
              <w:bottom w:val="single" w:sz="4" w:space="0" w:color="auto"/>
            </w:tcBorders>
            <w:shd w:val="clear" w:color="auto" w:fill="auto"/>
            <w:vAlign w:val="center"/>
          </w:tcPr>
          <w:p w14:paraId="052BBFA7" w14:textId="77777777" w:rsidR="009C2934" w:rsidRPr="00471560" w:rsidRDefault="009C2934" w:rsidP="00C51C55">
            <w:pPr>
              <w:pStyle w:val="Contenido1"/>
            </w:pPr>
            <w:r w:rsidRPr="00471560">
              <w:t>Servicio contratado al prestador del servicio que cumplió con los requerimientos solicitados. Gasto cubierto con recursos fiscales por $ 296.85.</w:t>
            </w:r>
          </w:p>
        </w:tc>
        <w:tc>
          <w:tcPr>
            <w:tcW w:w="1560" w:type="dxa"/>
            <w:shd w:val="clear" w:color="auto" w:fill="auto"/>
            <w:vAlign w:val="center"/>
          </w:tcPr>
          <w:p w14:paraId="7A641546" w14:textId="77777777" w:rsidR="009C2934" w:rsidRPr="00471560" w:rsidRDefault="009C2934" w:rsidP="00C51C55">
            <w:pPr>
              <w:pStyle w:val="Contenido1"/>
              <w:jc w:val="center"/>
            </w:pPr>
            <w:r w:rsidRPr="00471560">
              <w:t>1</w:t>
            </w:r>
          </w:p>
        </w:tc>
      </w:tr>
      <w:tr w:rsidR="009C2934" w:rsidRPr="00471560" w14:paraId="41D612FC" w14:textId="77777777" w:rsidTr="00E373D4">
        <w:trPr>
          <w:trHeight w:val="70"/>
          <w:jc w:val="center"/>
        </w:trPr>
        <w:tc>
          <w:tcPr>
            <w:tcW w:w="1270" w:type="dxa"/>
            <w:vMerge w:val="restart"/>
            <w:shd w:val="clear" w:color="auto" w:fill="auto"/>
            <w:vAlign w:val="center"/>
          </w:tcPr>
          <w:p w14:paraId="14AD517C" w14:textId="77777777" w:rsidR="009C2934" w:rsidRPr="00C45FF1" w:rsidRDefault="009C2934" w:rsidP="00C51C55">
            <w:pPr>
              <w:pStyle w:val="Contenido1"/>
              <w:jc w:val="center"/>
            </w:pPr>
            <w:r w:rsidRPr="00C45FF1">
              <w:t>XIV</w:t>
            </w:r>
          </w:p>
        </w:tc>
        <w:tc>
          <w:tcPr>
            <w:tcW w:w="1275" w:type="dxa"/>
            <w:vMerge w:val="restart"/>
            <w:shd w:val="clear" w:color="auto" w:fill="auto"/>
            <w:vAlign w:val="center"/>
          </w:tcPr>
          <w:p w14:paraId="581BAFFA" w14:textId="77777777" w:rsidR="009C2934" w:rsidRPr="00C45FF1" w:rsidRDefault="009C2934" w:rsidP="00C51C55">
            <w:pPr>
              <w:pStyle w:val="Contenido1"/>
              <w:jc w:val="center"/>
            </w:pPr>
            <w:r w:rsidRPr="00C45FF1">
              <w:t>2,398.90</w:t>
            </w:r>
          </w:p>
          <w:p w14:paraId="393AF0EC" w14:textId="77777777" w:rsidR="009C2934" w:rsidRPr="00C45FF1" w:rsidRDefault="009C2934" w:rsidP="00C51C55">
            <w:pPr>
              <w:pStyle w:val="Contenido1"/>
              <w:jc w:val="center"/>
            </w:pPr>
          </w:p>
        </w:tc>
        <w:tc>
          <w:tcPr>
            <w:tcW w:w="3404" w:type="dxa"/>
            <w:tcBorders>
              <w:top w:val="single" w:sz="4" w:space="0" w:color="auto"/>
              <w:bottom w:val="single" w:sz="4" w:space="0" w:color="auto"/>
            </w:tcBorders>
            <w:shd w:val="clear" w:color="auto" w:fill="auto"/>
            <w:vAlign w:val="center"/>
          </w:tcPr>
          <w:p w14:paraId="2539652D" w14:textId="77777777" w:rsidR="009C2934" w:rsidRPr="00471560" w:rsidRDefault="009C2934" w:rsidP="00C51C55">
            <w:pPr>
              <w:pStyle w:val="Contenido1"/>
            </w:pPr>
            <w:r w:rsidRPr="00471560">
              <w:t>Servicios litigiosos, asesoría jurídica, trámites de transparencia, protección de datos y atención de plataformas INAI.</w:t>
            </w:r>
          </w:p>
        </w:tc>
        <w:tc>
          <w:tcPr>
            <w:tcW w:w="3118" w:type="dxa"/>
            <w:tcBorders>
              <w:top w:val="single" w:sz="4" w:space="0" w:color="auto"/>
              <w:bottom w:val="single" w:sz="4" w:space="0" w:color="auto"/>
            </w:tcBorders>
            <w:shd w:val="clear" w:color="auto" w:fill="auto"/>
            <w:vAlign w:val="center"/>
          </w:tcPr>
          <w:p w14:paraId="25EB4837" w14:textId="2D0A3EBF" w:rsidR="009C2934" w:rsidRPr="00471560" w:rsidRDefault="009C2934" w:rsidP="00C51C55">
            <w:pPr>
              <w:pStyle w:val="Contenido1"/>
            </w:pPr>
            <w:r w:rsidRPr="00471560">
              <w:t>Servicio contratado al prestador del servicio que cotizó el precio más bajo. Gasto cubierto con recursos propios por 132.00.</w:t>
            </w:r>
          </w:p>
        </w:tc>
        <w:tc>
          <w:tcPr>
            <w:tcW w:w="1560" w:type="dxa"/>
            <w:shd w:val="clear" w:color="auto" w:fill="auto"/>
            <w:vAlign w:val="center"/>
          </w:tcPr>
          <w:p w14:paraId="4E3E29CA" w14:textId="77777777" w:rsidR="009C2934" w:rsidRPr="00471560" w:rsidRDefault="009C2934" w:rsidP="00C51C55">
            <w:pPr>
              <w:pStyle w:val="Contenido1"/>
              <w:jc w:val="center"/>
            </w:pPr>
            <w:r w:rsidRPr="00471560">
              <w:t>1</w:t>
            </w:r>
          </w:p>
        </w:tc>
      </w:tr>
      <w:tr w:rsidR="009C2934" w:rsidRPr="00471560" w14:paraId="51BCA03D" w14:textId="77777777" w:rsidTr="00E373D4">
        <w:trPr>
          <w:trHeight w:val="70"/>
          <w:jc w:val="center"/>
        </w:trPr>
        <w:tc>
          <w:tcPr>
            <w:tcW w:w="1270" w:type="dxa"/>
            <w:vMerge/>
            <w:shd w:val="clear" w:color="auto" w:fill="auto"/>
            <w:vAlign w:val="center"/>
          </w:tcPr>
          <w:p w14:paraId="4CA316E7"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27B26F17"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035C90AA" w14:textId="77777777" w:rsidR="009C2934" w:rsidRPr="00471560" w:rsidRDefault="009C2934" w:rsidP="00C51C55">
            <w:pPr>
              <w:pStyle w:val="Contenido1"/>
            </w:pPr>
            <w:r w:rsidRPr="00471560">
              <w:t xml:space="preserve">Servicio de apoyo administrativo para procesos de licitaciones públicas, invitaciones a cuando menos tres personas, y demás que se requiera en la parte normativa, técnica y de evaluaciones de los procesos, mismos del INECOL y en específico de la Unidad de Servicios Profesionales Altamente </w:t>
            </w:r>
            <w:r w:rsidRPr="00471560">
              <w:lastRenderedPageBreak/>
              <w:t>Especializados-USPAE, así como otras actividades relacionadas en materia de contrataciones.</w:t>
            </w:r>
          </w:p>
        </w:tc>
        <w:tc>
          <w:tcPr>
            <w:tcW w:w="3118" w:type="dxa"/>
            <w:tcBorders>
              <w:top w:val="single" w:sz="4" w:space="0" w:color="auto"/>
              <w:bottom w:val="single" w:sz="4" w:space="0" w:color="auto"/>
            </w:tcBorders>
            <w:shd w:val="clear" w:color="auto" w:fill="auto"/>
            <w:vAlign w:val="center"/>
          </w:tcPr>
          <w:p w14:paraId="11266BEE" w14:textId="77777777" w:rsidR="009C2934" w:rsidRPr="00471560" w:rsidRDefault="009C2934" w:rsidP="00C51C55">
            <w:pPr>
              <w:pStyle w:val="Contenido1"/>
            </w:pPr>
            <w:r w:rsidRPr="00471560">
              <w:lastRenderedPageBreak/>
              <w:t xml:space="preserve">Servicio contratado al prestador del servicio que cotizó el precio más bajo. </w:t>
            </w:r>
            <w:r w:rsidRPr="00471560">
              <w:br/>
              <w:t>Gasto cubierto con recursos propios por 91.00.</w:t>
            </w:r>
          </w:p>
        </w:tc>
        <w:tc>
          <w:tcPr>
            <w:tcW w:w="1560" w:type="dxa"/>
            <w:shd w:val="clear" w:color="auto" w:fill="auto"/>
            <w:vAlign w:val="center"/>
          </w:tcPr>
          <w:p w14:paraId="0A073659" w14:textId="77777777" w:rsidR="009C2934" w:rsidRPr="00471560" w:rsidRDefault="009C2934" w:rsidP="00C51C55">
            <w:pPr>
              <w:pStyle w:val="Contenido1"/>
              <w:jc w:val="center"/>
            </w:pPr>
            <w:r w:rsidRPr="00471560">
              <w:t>1</w:t>
            </w:r>
          </w:p>
        </w:tc>
      </w:tr>
      <w:tr w:rsidR="009C2934" w:rsidRPr="00471560" w14:paraId="02F2CBF0" w14:textId="77777777" w:rsidTr="00E373D4">
        <w:trPr>
          <w:trHeight w:val="70"/>
          <w:jc w:val="center"/>
        </w:trPr>
        <w:tc>
          <w:tcPr>
            <w:tcW w:w="1270" w:type="dxa"/>
            <w:vMerge/>
            <w:shd w:val="clear" w:color="auto" w:fill="auto"/>
            <w:vAlign w:val="center"/>
          </w:tcPr>
          <w:p w14:paraId="4C5C2EEF"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07815A73"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0877962B" w14:textId="77777777" w:rsidR="009C2934" w:rsidRPr="00471560" w:rsidRDefault="009C2934" w:rsidP="00C51C55">
            <w:pPr>
              <w:pStyle w:val="Contenido1"/>
            </w:pPr>
            <w:r w:rsidRPr="00471560">
              <w:t>Manejo clínico veterinario, revisión de bibliografía, captura en base de datos, monitoreo en campo y actividades de educación ambiental con monos aulladores (Alouatta palliata) en estado silvestre para proceso de translocación en los Estados de Campeche, Quintana Roo y Veracruz.</w:t>
            </w:r>
          </w:p>
        </w:tc>
        <w:tc>
          <w:tcPr>
            <w:tcW w:w="3118" w:type="dxa"/>
            <w:tcBorders>
              <w:top w:val="single" w:sz="4" w:space="0" w:color="auto"/>
              <w:bottom w:val="single" w:sz="4" w:space="0" w:color="auto"/>
            </w:tcBorders>
            <w:shd w:val="clear" w:color="auto" w:fill="auto"/>
            <w:vAlign w:val="center"/>
          </w:tcPr>
          <w:p w14:paraId="6EC89F6C"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propios por 75.00.</w:t>
            </w:r>
          </w:p>
        </w:tc>
        <w:tc>
          <w:tcPr>
            <w:tcW w:w="1560" w:type="dxa"/>
            <w:shd w:val="clear" w:color="auto" w:fill="auto"/>
            <w:vAlign w:val="center"/>
          </w:tcPr>
          <w:p w14:paraId="2198EE18" w14:textId="77777777" w:rsidR="009C2934" w:rsidRPr="00471560" w:rsidRDefault="009C2934" w:rsidP="00C51C55">
            <w:pPr>
              <w:pStyle w:val="Contenido1"/>
              <w:jc w:val="center"/>
            </w:pPr>
            <w:r w:rsidRPr="00471560">
              <w:t>1</w:t>
            </w:r>
          </w:p>
        </w:tc>
      </w:tr>
      <w:tr w:rsidR="009C2934" w:rsidRPr="00471560" w14:paraId="64586175" w14:textId="77777777" w:rsidTr="00E373D4">
        <w:trPr>
          <w:trHeight w:val="70"/>
          <w:jc w:val="center"/>
        </w:trPr>
        <w:tc>
          <w:tcPr>
            <w:tcW w:w="1270" w:type="dxa"/>
            <w:vMerge/>
            <w:shd w:val="clear" w:color="auto" w:fill="auto"/>
            <w:vAlign w:val="center"/>
          </w:tcPr>
          <w:p w14:paraId="37867906"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3CDDB5EC"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2098E7F1" w14:textId="77777777" w:rsidR="009C2934" w:rsidRPr="00471560" w:rsidRDefault="009C2934" w:rsidP="00C51C55">
            <w:pPr>
              <w:pStyle w:val="Contenido1"/>
            </w:pPr>
            <w:r w:rsidRPr="00471560">
              <w:t>Servicios auxiliares de ingeniería en campo y gabinete para montaje y mantenimiento de vermireactores, monitoreo de bioconversión del sustrato postcosecha del champiñón mediante vermicompostaje.</w:t>
            </w:r>
          </w:p>
        </w:tc>
        <w:tc>
          <w:tcPr>
            <w:tcW w:w="3118" w:type="dxa"/>
            <w:tcBorders>
              <w:top w:val="single" w:sz="4" w:space="0" w:color="auto"/>
              <w:bottom w:val="single" w:sz="4" w:space="0" w:color="auto"/>
            </w:tcBorders>
            <w:shd w:val="clear" w:color="auto" w:fill="auto"/>
            <w:vAlign w:val="center"/>
          </w:tcPr>
          <w:p w14:paraId="2506CDC9"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propios por 59.28.</w:t>
            </w:r>
          </w:p>
        </w:tc>
        <w:tc>
          <w:tcPr>
            <w:tcW w:w="1560" w:type="dxa"/>
            <w:shd w:val="clear" w:color="auto" w:fill="auto"/>
            <w:vAlign w:val="center"/>
          </w:tcPr>
          <w:p w14:paraId="11116B91" w14:textId="77777777" w:rsidR="009C2934" w:rsidRPr="00471560" w:rsidRDefault="009C2934" w:rsidP="00C51C55">
            <w:pPr>
              <w:pStyle w:val="Contenido1"/>
              <w:jc w:val="center"/>
            </w:pPr>
            <w:r w:rsidRPr="00471560">
              <w:t>1</w:t>
            </w:r>
          </w:p>
        </w:tc>
      </w:tr>
      <w:tr w:rsidR="009C2934" w:rsidRPr="00471560" w14:paraId="2B5CAAFD" w14:textId="77777777" w:rsidTr="00E373D4">
        <w:trPr>
          <w:trHeight w:val="70"/>
          <w:jc w:val="center"/>
        </w:trPr>
        <w:tc>
          <w:tcPr>
            <w:tcW w:w="1270" w:type="dxa"/>
            <w:vMerge/>
            <w:shd w:val="clear" w:color="auto" w:fill="auto"/>
            <w:vAlign w:val="center"/>
          </w:tcPr>
          <w:p w14:paraId="2D9F9FCB"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5FC203DD"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311B1C50" w14:textId="01FB4110" w:rsidR="009C2934" w:rsidRPr="00471560" w:rsidRDefault="009C2934" w:rsidP="00C51C55">
            <w:pPr>
              <w:pStyle w:val="Contenido1"/>
            </w:pPr>
            <w:r w:rsidRPr="00471560">
              <w:t>Servicio de apoyo técnico dentro del proyecto “Programa de Protección de Manglares para el cumplimiento de Resolutivo S.G.P.A./D.I.R.A./D.G. 8467 de la MIA-R del proyecto “La Guadalupana”, en las siguientes actividades: elaboración de propuesta para ser sometida a una institución financiadora que permita realizar actividades de restauración en áreas con manglar deteriorado. Proponer un estudio de monitoreo desde su línea base para detectar las posibles causas de deterioro del manglar (fisicoquímicos del agua intersticial, caracterización de las propiedades del suelo, implementación de unidades de muestreo para evaluar la estructura del manglar, calcular el almacén de carbono en áreas conservadas, deterioradas y en restauración). Proponer y calcular construcción de canales primarios y secundarios que conectan las áreas de manglar deteriorado con el cuerpo de agua principal.</w:t>
            </w:r>
          </w:p>
        </w:tc>
        <w:tc>
          <w:tcPr>
            <w:tcW w:w="3118" w:type="dxa"/>
            <w:tcBorders>
              <w:top w:val="single" w:sz="4" w:space="0" w:color="auto"/>
              <w:bottom w:val="single" w:sz="4" w:space="0" w:color="auto"/>
            </w:tcBorders>
            <w:shd w:val="clear" w:color="auto" w:fill="auto"/>
            <w:vAlign w:val="center"/>
          </w:tcPr>
          <w:p w14:paraId="7819F988"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propios por 87.00.</w:t>
            </w:r>
          </w:p>
        </w:tc>
        <w:tc>
          <w:tcPr>
            <w:tcW w:w="1560" w:type="dxa"/>
            <w:shd w:val="clear" w:color="auto" w:fill="auto"/>
            <w:vAlign w:val="center"/>
          </w:tcPr>
          <w:p w14:paraId="1786D9C2" w14:textId="77777777" w:rsidR="009C2934" w:rsidRPr="00471560" w:rsidRDefault="009C2934" w:rsidP="00C51C55">
            <w:pPr>
              <w:pStyle w:val="Contenido1"/>
              <w:jc w:val="center"/>
            </w:pPr>
            <w:r w:rsidRPr="00471560">
              <w:t>1</w:t>
            </w:r>
          </w:p>
        </w:tc>
      </w:tr>
      <w:tr w:rsidR="009C2934" w:rsidRPr="00471560" w14:paraId="79E3EAFF" w14:textId="77777777" w:rsidTr="00E373D4">
        <w:trPr>
          <w:trHeight w:val="70"/>
          <w:jc w:val="center"/>
        </w:trPr>
        <w:tc>
          <w:tcPr>
            <w:tcW w:w="1270" w:type="dxa"/>
            <w:vMerge/>
            <w:shd w:val="clear" w:color="auto" w:fill="auto"/>
            <w:vAlign w:val="center"/>
          </w:tcPr>
          <w:p w14:paraId="1D1878A4"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4ED8DF0E"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70F1EDC1" w14:textId="1EFBB731" w:rsidR="009C2934" w:rsidRPr="00471560" w:rsidRDefault="009C2934" w:rsidP="00C51C55">
            <w:pPr>
              <w:pStyle w:val="Contenido1"/>
            </w:pPr>
            <w:r w:rsidRPr="00471560">
              <w:t xml:space="preserve">Servicio de apoyo técnico dentro de tres proyectos sobre el monitoreo de la restauración y conservación de los manglares en Tuxpan y a lo largo del Golfo de México, así como de la diversidad que sustentan. En estas </w:t>
            </w:r>
            <w:r w:rsidRPr="00471560">
              <w:lastRenderedPageBreak/>
              <w:t>investigaciones tenemos un fuerte componente de trabajo tanto en campo como en el laboratorio por lo que requerimos del apoyo en las siguientes actividades: 1) participación mensual en las actividades de campo y laboratorio correspondientes a los proyectos en desarrollo, 2) colecta de organismos tanto de flora como de fauna, 3) medición in situ y análisis de los parámetros fisicoquímicos del agua, 4) determinación química de los nutrientes del suelo, 5) preparación de muestras de suelos para los análisis químicos.</w:t>
            </w:r>
          </w:p>
        </w:tc>
        <w:tc>
          <w:tcPr>
            <w:tcW w:w="3118" w:type="dxa"/>
            <w:tcBorders>
              <w:top w:val="single" w:sz="4" w:space="0" w:color="auto"/>
              <w:bottom w:val="single" w:sz="4" w:space="0" w:color="auto"/>
            </w:tcBorders>
            <w:shd w:val="clear" w:color="auto" w:fill="auto"/>
            <w:vAlign w:val="center"/>
          </w:tcPr>
          <w:p w14:paraId="0C3B04DF" w14:textId="77777777" w:rsidR="009C2934" w:rsidRPr="00471560" w:rsidRDefault="009C2934" w:rsidP="00C51C55">
            <w:pPr>
              <w:pStyle w:val="Contenido1"/>
            </w:pPr>
            <w:r w:rsidRPr="00471560">
              <w:lastRenderedPageBreak/>
              <w:t xml:space="preserve">Servicio contratado al prestador del servicio que cotizó el precio más bajo. </w:t>
            </w:r>
            <w:r w:rsidRPr="00471560">
              <w:br/>
              <w:t>Gasto cubierto con recursos propios por 73.01.</w:t>
            </w:r>
          </w:p>
        </w:tc>
        <w:tc>
          <w:tcPr>
            <w:tcW w:w="1560" w:type="dxa"/>
            <w:shd w:val="clear" w:color="auto" w:fill="auto"/>
            <w:vAlign w:val="center"/>
          </w:tcPr>
          <w:p w14:paraId="4F3686F3" w14:textId="77777777" w:rsidR="009C2934" w:rsidRPr="00471560" w:rsidRDefault="009C2934" w:rsidP="00C51C55">
            <w:pPr>
              <w:pStyle w:val="Contenido1"/>
              <w:jc w:val="center"/>
            </w:pPr>
            <w:r w:rsidRPr="00471560">
              <w:t>1</w:t>
            </w:r>
          </w:p>
        </w:tc>
      </w:tr>
      <w:tr w:rsidR="009C2934" w:rsidRPr="00471560" w14:paraId="535195DF" w14:textId="77777777" w:rsidTr="00E373D4">
        <w:trPr>
          <w:trHeight w:val="70"/>
          <w:jc w:val="center"/>
        </w:trPr>
        <w:tc>
          <w:tcPr>
            <w:tcW w:w="1270" w:type="dxa"/>
            <w:vMerge/>
            <w:shd w:val="clear" w:color="auto" w:fill="auto"/>
            <w:vAlign w:val="center"/>
          </w:tcPr>
          <w:p w14:paraId="37BB26DB"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21CE80E5"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0A3382CC" w14:textId="77777777" w:rsidR="009C2934" w:rsidRPr="00471560" w:rsidRDefault="009C2934" w:rsidP="00C51C55">
            <w:pPr>
              <w:pStyle w:val="Contenido1"/>
            </w:pPr>
            <w:r w:rsidRPr="00471560">
              <w:t>Servicio de apoyo técnico dentro del proyecto “El Programa de monitoreo de la diversidad en el área de conservación en la Terminal Internacional de Fluidos Tuxpan ubicadas en el Sitio Ramsar 1602 manglares y humedales de Tuxpan”, en las siguientes actividades: medición de parámetros fisicoquímicos in situ (6 veces), colecta de organismos tanto de flora como de fauna (3 veces), preparación de base de datos (6), elaboración de informes técnicos (6) y preparación de fichas de las especies que se registran en el manglar.</w:t>
            </w:r>
          </w:p>
        </w:tc>
        <w:tc>
          <w:tcPr>
            <w:tcW w:w="3118" w:type="dxa"/>
            <w:tcBorders>
              <w:top w:val="single" w:sz="4" w:space="0" w:color="auto"/>
              <w:bottom w:val="single" w:sz="4" w:space="0" w:color="auto"/>
            </w:tcBorders>
            <w:shd w:val="clear" w:color="auto" w:fill="auto"/>
            <w:vAlign w:val="center"/>
          </w:tcPr>
          <w:p w14:paraId="752D8906"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propios por 42.59.</w:t>
            </w:r>
          </w:p>
        </w:tc>
        <w:tc>
          <w:tcPr>
            <w:tcW w:w="1560" w:type="dxa"/>
            <w:shd w:val="clear" w:color="auto" w:fill="auto"/>
            <w:vAlign w:val="center"/>
          </w:tcPr>
          <w:p w14:paraId="6EEE9EDE" w14:textId="77777777" w:rsidR="009C2934" w:rsidRPr="00471560" w:rsidRDefault="009C2934" w:rsidP="00C51C55">
            <w:pPr>
              <w:pStyle w:val="Contenido1"/>
              <w:jc w:val="center"/>
            </w:pPr>
            <w:r w:rsidRPr="00471560">
              <w:t>1</w:t>
            </w:r>
          </w:p>
        </w:tc>
      </w:tr>
      <w:tr w:rsidR="009C2934" w:rsidRPr="00471560" w14:paraId="552C8FAC" w14:textId="77777777" w:rsidTr="00E373D4">
        <w:trPr>
          <w:trHeight w:val="70"/>
          <w:jc w:val="center"/>
        </w:trPr>
        <w:tc>
          <w:tcPr>
            <w:tcW w:w="1270" w:type="dxa"/>
            <w:vMerge/>
            <w:shd w:val="clear" w:color="auto" w:fill="auto"/>
            <w:vAlign w:val="center"/>
          </w:tcPr>
          <w:p w14:paraId="7BEF6326"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29BBB286"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20BC9320" w14:textId="77777777" w:rsidR="009C2934" w:rsidRPr="00471560" w:rsidRDefault="009C2934" w:rsidP="00C51C55">
            <w:pPr>
              <w:pStyle w:val="Contenido1"/>
            </w:pPr>
            <w:r w:rsidRPr="00471560">
              <w:t>Apoyo en el laboratorio de análisis de suelos. Análisis fisicoquímicos de suelos, análisis químicos de material vegetal u orgánico.</w:t>
            </w:r>
          </w:p>
        </w:tc>
        <w:tc>
          <w:tcPr>
            <w:tcW w:w="3118" w:type="dxa"/>
            <w:tcBorders>
              <w:top w:val="single" w:sz="4" w:space="0" w:color="auto"/>
              <w:bottom w:val="single" w:sz="4" w:space="0" w:color="auto"/>
            </w:tcBorders>
            <w:shd w:val="clear" w:color="auto" w:fill="auto"/>
            <w:vAlign w:val="center"/>
          </w:tcPr>
          <w:p w14:paraId="7D65014C"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propios por 105.60.</w:t>
            </w:r>
          </w:p>
        </w:tc>
        <w:tc>
          <w:tcPr>
            <w:tcW w:w="1560" w:type="dxa"/>
            <w:shd w:val="clear" w:color="auto" w:fill="auto"/>
            <w:vAlign w:val="center"/>
          </w:tcPr>
          <w:p w14:paraId="26EFB62C" w14:textId="77777777" w:rsidR="009C2934" w:rsidRPr="00471560" w:rsidRDefault="009C2934" w:rsidP="00C51C55">
            <w:pPr>
              <w:pStyle w:val="Contenido1"/>
              <w:jc w:val="center"/>
            </w:pPr>
            <w:r w:rsidRPr="00471560">
              <w:t>1</w:t>
            </w:r>
          </w:p>
        </w:tc>
      </w:tr>
      <w:tr w:rsidR="009C2934" w:rsidRPr="00471560" w14:paraId="187E038B" w14:textId="77777777" w:rsidTr="00E373D4">
        <w:trPr>
          <w:trHeight w:val="70"/>
          <w:jc w:val="center"/>
        </w:trPr>
        <w:tc>
          <w:tcPr>
            <w:tcW w:w="1270" w:type="dxa"/>
            <w:vMerge/>
            <w:shd w:val="clear" w:color="auto" w:fill="auto"/>
            <w:vAlign w:val="center"/>
          </w:tcPr>
          <w:p w14:paraId="2990A396"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2CE06CC3"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38B94251" w14:textId="77777777" w:rsidR="009C2934" w:rsidRPr="00471560" w:rsidRDefault="009C2934" w:rsidP="00C51C55">
            <w:pPr>
              <w:pStyle w:val="Contenido1"/>
            </w:pPr>
            <w:r w:rsidRPr="00471560">
              <w:t>Búsqueda bibliográfica de estudios referentes a la Superfamilia Scarabaeoidea; Actualización de información referente a la fauna de los Scarabaeoidea mexicanos; Captura de datos faunísticos de la Superfamilia Scarabaeoidea; para el proyecto estratégico “E-Scarab.mx: La Scarabaeoidea-fauna electrónica de México”.</w:t>
            </w:r>
          </w:p>
        </w:tc>
        <w:tc>
          <w:tcPr>
            <w:tcW w:w="3118" w:type="dxa"/>
            <w:tcBorders>
              <w:top w:val="single" w:sz="4" w:space="0" w:color="auto"/>
              <w:bottom w:val="single" w:sz="4" w:space="0" w:color="auto"/>
            </w:tcBorders>
            <w:shd w:val="clear" w:color="auto" w:fill="auto"/>
            <w:vAlign w:val="center"/>
          </w:tcPr>
          <w:p w14:paraId="3631F039"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propios por 100.00.</w:t>
            </w:r>
          </w:p>
        </w:tc>
        <w:tc>
          <w:tcPr>
            <w:tcW w:w="1560" w:type="dxa"/>
            <w:shd w:val="clear" w:color="auto" w:fill="auto"/>
            <w:vAlign w:val="center"/>
          </w:tcPr>
          <w:p w14:paraId="34D98988" w14:textId="77777777" w:rsidR="009C2934" w:rsidRPr="00471560" w:rsidRDefault="009C2934" w:rsidP="00C51C55">
            <w:pPr>
              <w:pStyle w:val="Contenido1"/>
              <w:jc w:val="center"/>
            </w:pPr>
            <w:r w:rsidRPr="00471560">
              <w:t>1</w:t>
            </w:r>
          </w:p>
        </w:tc>
      </w:tr>
      <w:tr w:rsidR="009C2934" w:rsidRPr="00471560" w14:paraId="6CA32510" w14:textId="77777777" w:rsidTr="00E373D4">
        <w:trPr>
          <w:trHeight w:val="70"/>
          <w:jc w:val="center"/>
        </w:trPr>
        <w:tc>
          <w:tcPr>
            <w:tcW w:w="1270" w:type="dxa"/>
            <w:vMerge/>
            <w:shd w:val="clear" w:color="auto" w:fill="auto"/>
            <w:vAlign w:val="center"/>
          </w:tcPr>
          <w:p w14:paraId="355ABCDF"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750C7486"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79DF3DC0" w14:textId="39AF8501" w:rsidR="009C2934" w:rsidRPr="00471560" w:rsidRDefault="009C2934" w:rsidP="00C51C55">
            <w:pPr>
              <w:pStyle w:val="Contenido1"/>
            </w:pPr>
            <w:r w:rsidRPr="00471560">
              <w:t xml:space="preserve">Servicios profesionales de asesoría legal en materia litigiosa administrativa, para atender el juicio de Nulidad 2163/19-17-09-7, hasta </w:t>
            </w:r>
            <w:r w:rsidRPr="00471560">
              <w:lastRenderedPageBreak/>
              <w:t>obtener resolución, incluyendo: la elaboración y presentación de todo tipo de promociones, la elaboración y presentación de las demandas de amparo directo e indirecto que resulten necesarias como consecuencia directa del juicio de Nulidad, la atención de audiencias y demás diligencias judiciales, así como litigar el asunto ante la autoridad judicial competente.</w:t>
            </w:r>
          </w:p>
        </w:tc>
        <w:tc>
          <w:tcPr>
            <w:tcW w:w="3118" w:type="dxa"/>
            <w:tcBorders>
              <w:top w:val="single" w:sz="4" w:space="0" w:color="auto"/>
              <w:bottom w:val="single" w:sz="4" w:space="0" w:color="auto"/>
            </w:tcBorders>
            <w:shd w:val="clear" w:color="auto" w:fill="auto"/>
            <w:vAlign w:val="center"/>
          </w:tcPr>
          <w:p w14:paraId="0450DF5F" w14:textId="77777777" w:rsidR="009C2934" w:rsidRPr="00471560" w:rsidRDefault="009C2934" w:rsidP="00C51C55">
            <w:pPr>
              <w:pStyle w:val="Contenido1"/>
            </w:pPr>
            <w:r w:rsidRPr="00471560">
              <w:lastRenderedPageBreak/>
              <w:t xml:space="preserve">Servicio contratado al prestador del servicio que cotizó el precio más bajo. </w:t>
            </w:r>
            <w:r w:rsidRPr="00471560">
              <w:br/>
            </w:r>
            <w:r w:rsidRPr="00471560">
              <w:lastRenderedPageBreak/>
              <w:t>Gasto cubierto con recursos propios por 166.09.</w:t>
            </w:r>
          </w:p>
        </w:tc>
        <w:tc>
          <w:tcPr>
            <w:tcW w:w="1560" w:type="dxa"/>
            <w:shd w:val="clear" w:color="auto" w:fill="auto"/>
            <w:vAlign w:val="center"/>
          </w:tcPr>
          <w:p w14:paraId="2D95F34A" w14:textId="77777777" w:rsidR="009C2934" w:rsidRPr="00471560" w:rsidRDefault="009C2934" w:rsidP="00C51C55">
            <w:pPr>
              <w:pStyle w:val="Contenido1"/>
              <w:jc w:val="center"/>
            </w:pPr>
            <w:r w:rsidRPr="00471560">
              <w:lastRenderedPageBreak/>
              <w:t>1</w:t>
            </w:r>
          </w:p>
        </w:tc>
      </w:tr>
      <w:tr w:rsidR="009C2934" w:rsidRPr="00471560" w14:paraId="1398BA39" w14:textId="77777777" w:rsidTr="00E373D4">
        <w:trPr>
          <w:trHeight w:val="70"/>
          <w:jc w:val="center"/>
        </w:trPr>
        <w:tc>
          <w:tcPr>
            <w:tcW w:w="1270" w:type="dxa"/>
            <w:vMerge/>
            <w:shd w:val="clear" w:color="auto" w:fill="auto"/>
            <w:vAlign w:val="center"/>
          </w:tcPr>
          <w:p w14:paraId="49D1C615"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0FA8E36E"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5D29B798" w14:textId="77777777" w:rsidR="009C2934" w:rsidRPr="00471560" w:rsidRDefault="009C2934" w:rsidP="00C51C55">
            <w:pPr>
              <w:pStyle w:val="Contenido1"/>
            </w:pPr>
            <w:r w:rsidRPr="00471560">
              <w:t>Servicios de asistencia jurídica, asesoría jurídica, trámites de transparencia, protección de datos y auxiliar en la atención de las plataformas del Instituto Nacional de Transparencia, Acceso a la Información y Protección de Datos Personales (INAI), Sistema de Portales de Obligaciones de Transparencia (SIPOT), Herramienta de Comunicación (HCOM) con el INAI y el Sistema para la Administración de la Capacitación Presencial (SACP).</w:t>
            </w:r>
          </w:p>
        </w:tc>
        <w:tc>
          <w:tcPr>
            <w:tcW w:w="3118" w:type="dxa"/>
            <w:tcBorders>
              <w:top w:val="single" w:sz="4" w:space="0" w:color="auto"/>
              <w:bottom w:val="single" w:sz="4" w:space="0" w:color="auto"/>
            </w:tcBorders>
            <w:shd w:val="clear" w:color="auto" w:fill="auto"/>
            <w:vAlign w:val="center"/>
          </w:tcPr>
          <w:p w14:paraId="24752ABF"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propios por 65.87.</w:t>
            </w:r>
          </w:p>
        </w:tc>
        <w:tc>
          <w:tcPr>
            <w:tcW w:w="1560" w:type="dxa"/>
            <w:shd w:val="clear" w:color="auto" w:fill="auto"/>
            <w:vAlign w:val="center"/>
          </w:tcPr>
          <w:p w14:paraId="3DF5A3C6" w14:textId="77777777" w:rsidR="009C2934" w:rsidRPr="00471560" w:rsidRDefault="009C2934" w:rsidP="00C51C55">
            <w:pPr>
              <w:pStyle w:val="Contenido1"/>
              <w:jc w:val="center"/>
            </w:pPr>
            <w:r w:rsidRPr="00471560">
              <w:t>1</w:t>
            </w:r>
          </w:p>
        </w:tc>
      </w:tr>
      <w:tr w:rsidR="009C2934" w:rsidRPr="00471560" w14:paraId="64B7E21A" w14:textId="77777777" w:rsidTr="00E373D4">
        <w:trPr>
          <w:trHeight w:val="70"/>
          <w:jc w:val="center"/>
        </w:trPr>
        <w:tc>
          <w:tcPr>
            <w:tcW w:w="1270" w:type="dxa"/>
            <w:vMerge/>
            <w:shd w:val="clear" w:color="auto" w:fill="auto"/>
            <w:vAlign w:val="center"/>
          </w:tcPr>
          <w:p w14:paraId="652CE7A2"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06BF2445"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6DDF2C8D" w14:textId="1D8E5CAB" w:rsidR="009C2934" w:rsidRPr="00471560" w:rsidRDefault="009C2934" w:rsidP="00C51C55">
            <w:pPr>
              <w:pStyle w:val="Contenido1"/>
            </w:pPr>
            <w:r w:rsidRPr="00471560">
              <w:t>Apoyo en la edición y formateo general de seis libros de los municipios costeros del estado de Veracruz para completar los 15 libros derivados del proyecto “Análisis de la erosión y propuestas para promover la resiliencia en las costas de Veracruz”.</w:t>
            </w:r>
          </w:p>
        </w:tc>
        <w:tc>
          <w:tcPr>
            <w:tcW w:w="3118" w:type="dxa"/>
            <w:tcBorders>
              <w:top w:val="single" w:sz="4" w:space="0" w:color="auto"/>
              <w:bottom w:val="single" w:sz="4" w:space="0" w:color="auto"/>
            </w:tcBorders>
            <w:shd w:val="clear" w:color="auto" w:fill="auto"/>
            <w:vAlign w:val="center"/>
          </w:tcPr>
          <w:p w14:paraId="25BD13FC"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propios por 62.64.</w:t>
            </w:r>
          </w:p>
        </w:tc>
        <w:tc>
          <w:tcPr>
            <w:tcW w:w="1560" w:type="dxa"/>
            <w:shd w:val="clear" w:color="auto" w:fill="auto"/>
            <w:vAlign w:val="center"/>
          </w:tcPr>
          <w:p w14:paraId="61B480A3" w14:textId="77777777" w:rsidR="009C2934" w:rsidRPr="00471560" w:rsidRDefault="009C2934" w:rsidP="00C51C55">
            <w:pPr>
              <w:pStyle w:val="Contenido1"/>
              <w:jc w:val="center"/>
            </w:pPr>
            <w:r w:rsidRPr="00471560">
              <w:t>1</w:t>
            </w:r>
          </w:p>
        </w:tc>
      </w:tr>
      <w:tr w:rsidR="009C2934" w:rsidRPr="00471560" w14:paraId="7CA270C6" w14:textId="77777777" w:rsidTr="00E373D4">
        <w:trPr>
          <w:trHeight w:val="70"/>
          <w:jc w:val="center"/>
        </w:trPr>
        <w:tc>
          <w:tcPr>
            <w:tcW w:w="1270" w:type="dxa"/>
            <w:vMerge/>
            <w:shd w:val="clear" w:color="auto" w:fill="auto"/>
            <w:vAlign w:val="center"/>
          </w:tcPr>
          <w:p w14:paraId="7D69E711"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62D27F65"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406E2839" w14:textId="77777777" w:rsidR="009C2934" w:rsidRPr="00471560" w:rsidRDefault="009C2934" w:rsidP="00C51C55">
            <w:pPr>
              <w:pStyle w:val="Contenido1"/>
            </w:pPr>
            <w:r w:rsidRPr="00471560">
              <w:t>Búsqueda y recopilación de información bibliográfica actualizada sobre interacciones bióticas y ecología de comunidades. Búsqueda de paquetería sobre análisis cuantitativo de redes ecológicas. Revisión de protocolos de tesis de estudiantes de licenciatura y posgrado. Revisión y edición de manuscritos para ser enviados a revistas científicas con factor de impacto (JCR), así como de artículos de divulgación científica. Captura de bases de datos y análisis estadísticos. Diversas actividades administrativas (</w:t>
            </w:r>
            <w:proofErr w:type="spellStart"/>
            <w:r w:rsidRPr="00471560">
              <w:t>p.e</w:t>
            </w:r>
            <w:proofErr w:type="spellEnd"/>
            <w:r w:rsidRPr="00471560">
              <w:t xml:space="preserve">. llenado de formatos, cotizaciones, </w:t>
            </w:r>
            <w:proofErr w:type="spellStart"/>
            <w:r w:rsidRPr="00471560">
              <w:t>etc</w:t>
            </w:r>
            <w:proofErr w:type="spellEnd"/>
            <w:r w:rsidRPr="00471560">
              <w:t>). Trabajo de campo con estudiantes de licenciatura y posgrado. Registro en campo de interacciones planta-animal.</w:t>
            </w:r>
          </w:p>
        </w:tc>
        <w:tc>
          <w:tcPr>
            <w:tcW w:w="3118" w:type="dxa"/>
            <w:tcBorders>
              <w:top w:val="single" w:sz="4" w:space="0" w:color="auto"/>
              <w:bottom w:val="single" w:sz="4" w:space="0" w:color="auto"/>
            </w:tcBorders>
            <w:shd w:val="clear" w:color="auto" w:fill="auto"/>
            <w:vAlign w:val="center"/>
          </w:tcPr>
          <w:p w14:paraId="5D09E713"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propios por 52.20.</w:t>
            </w:r>
          </w:p>
        </w:tc>
        <w:tc>
          <w:tcPr>
            <w:tcW w:w="1560" w:type="dxa"/>
            <w:shd w:val="clear" w:color="auto" w:fill="auto"/>
            <w:vAlign w:val="center"/>
          </w:tcPr>
          <w:p w14:paraId="5FF2B1F8" w14:textId="77777777" w:rsidR="009C2934" w:rsidRPr="00471560" w:rsidRDefault="009C2934" w:rsidP="00C51C55">
            <w:pPr>
              <w:pStyle w:val="Contenido1"/>
              <w:jc w:val="center"/>
            </w:pPr>
            <w:r w:rsidRPr="00471560">
              <w:t>1</w:t>
            </w:r>
          </w:p>
        </w:tc>
      </w:tr>
      <w:tr w:rsidR="009C2934" w:rsidRPr="00471560" w14:paraId="1900088C" w14:textId="77777777" w:rsidTr="00E373D4">
        <w:trPr>
          <w:trHeight w:val="70"/>
          <w:jc w:val="center"/>
        </w:trPr>
        <w:tc>
          <w:tcPr>
            <w:tcW w:w="1270" w:type="dxa"/>
            <w:vMerge/>
            <w:shd w:val="clear" w:color="auto" w:fill="auto"/>
            <w:vAlign w:val="center"/>
          </w:tcPr>
          <w:p w14:paraId="7ECD5B87"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273D5723"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77448E63" w14:textId="77777777" w:rsidR="009C2934" w:rsidRPr="00471560" w:rsidRDefault="009C2934" w:rsidP="00C51C55">
            <w:pPr>
              <w:pStyle w:val="Contenido1"/>
            </w:pPr>
            <w:r w:rsidRPr="00471560">
              <w:t>Servicios de apoyo administrativo en revisión de contratos, solicitudes de contratación para el Comité de Adquisiciones, Arrendamientos y Servicios (CAAS), apoyo en el manejo de la Plataforma Integral CompraNet, trámites de pago, seguimiento de reportes (inventarios, informes mensuales, etc.) y demás actividades relacionadas en materia de contrataciones.</w:t>
            </w:r>
          </w:p>
        </w:tc>
        <w:tc>
          <w:tcPr>
            <w:tcW w:w="3118" w:type="dxa"/>
            <w:tcBorders>
              <w:top w:val="single" w:sz="4" w:space="0" w:color="auto"/>
              <w:bottom w:val="single" w:sz="4" w:space="0" w:color="auto"/>
            </w:tcBorders>
            <w:shd w:val="clear" w:color="auto" w:fill="auto"/>
            <w:vAlign w:val="center"/>
          </w:tcPr>
          <w:p w14:paraId="1C176068"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80.17.</w:t>
            </w:r>
          </w:p>
        </w:tc>
        <w:tc>
          <w:tcPr>
            <w:tcW w:w="1560" w:type="dxa"/>
            <w:shd w:val="clear" w:color="auto" w:fill="auto"/>
            <w:vAlign w:val="center"/>
          </w:tcPr>
          <w:p w14:paraId="47DA33BF" w14:textId="77777777" w:rsidR="009C2934" w:rsidRPr="00471560" w:rsidRDefault="009C2934" w:rsidP="00C51C55">
            <w:pPr>
              <w:pStyle w:val="Contenido1"/>
              <w:jc w:val="center"/>
            </w:pPr>
            <w:r w:rsidRPr="00471560">
              <w:t>1</w:t>
            </w:r>
          </w:p>
        </w:tc>
      </w:tr>
      <w:tr w:rsidR="009C2934" w:rsidRPr="00471560" w14:paraId="51237F21" w14:textId="77777777" w:rsidTr="00E373D4">
        <w:trPr>
          <w:trHeight w:val="70"/>
          <w:jc w:val="center"/>
        </w:trPr>
        <w:tc>
          <w:tcPr>
            <w:tcW w:w="1270" w:type="dxa"/>
            <w:vMerge/>
            <w:shd w:val="clear" w:color="auto" w:fill="auto"/>
            <w:vAlign w:val="center"/>
          </w:tcPr>
          <w:p w14:paraId="31549463"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14CD7648"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293F533E" w14:textId="77777777" w:rsidR="009C2934" w:rsidRPr="00471560" w:rsidRDefault="009C2934" w:rsidP="00C51C55">
            <w:pPr>
              <w:pStyle w:val="Contenido1"/>
            </w:pPr>
            <w:r w:rsidRPr="00471560">
              <w:t>Servicio de modificación y actualización de los bienes muebles dentro del Sistema de Control Presupuestal SICOP y realizar el inventario físico de los bienes muebles del INECOL.</w:t>
            </w:r>
          </w:p>
        </w:tc>
        <w:tc>
          <w:tcPr>
            <w:tcW w:w="3118" w:type="dxa"/>
            <w:tcBorders>
              <w:top w:val="single" w:sz="4" w:space="0" w:color="auto"/>
              <w:bottom w:val="single" w:sz="4" w:space="0" w:color="auto"/>
            </w:tcBorders>
            <w:shd w:val="clear" w:color="auto" w:fill="auto"/>
            <w:vAlign w:val="center"/>
          </w:tcPr>
          <w:p w14:paraId="7D693601"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80.17.</w:t>
            </w:r>
          </w:p>
        </w:tc>
        <w:tc>
          <w:tcPr>
            <w:tcW w:w="1560" w:type="dxa"/>
            <w:shd w:val="clear" w:color="auto" w:fill="auto"/>
            <w:vAlign w:val="center"/>
          </w:tcPr>
          <w:p w14:paraId="4849C551" w14:textId="77777777" w:rsidR="009C2934" w:rsidRPr="00471560" w:rsidRDefault="009C2934" w:rsidP="00C51C55">
            <w:pPr>
              <w:pStyle w:val="Contenido1"/>
              <w:jc w:val="center"/>
            </w:pPr>
            <w:r w:rsidRPr="00471560">
              <w:t>1</w:t>
            </w:r>
          </w:p>
        </w:tc>
      </w:tr>
      <w:tr w:rsidR="009C2934" w:rsidRPr="00471560" w14:paraId="76D78DAF" w14:textId="77777777" w:rsidTr="00E373D4">
        <w:trPr>
          <w:trHeight w:val="70"/>
          <w:jc w:val="center"/>
        </w:trPr>
        <w:tc>
          <w:tcPr>
            <w:tcW w:w="1270" w:type="dxa"/>
            <w:vMerge/>
            <w:shd w:val="clear" w:color="auto" w:fill="auto"/>
            <w:vAlign w:val="center"/>
          </w:tcPr>
          <w:p w14:paraId="59D0F27F"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3FF3E65A"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0AD8D9F9" w14:textId="77777777" w:rsidR="009C2934" w:rsidRPr="00471560" w:rsidRDefault="009C2934" w:rsidP="00C51C55">
            <w:pPr>
              <w:pStyle w:val="Contenido1"/>
            </w:pPr>
            <w:r w:rsidRPr="00471560">
              <w:t>Servicios de asesoría administrativa para la elaboración del Manual de Organización funcional del Instituto de Ecología, A.C., y análisis y simplificación de procesos administrativos, asociados al sistema de gestión de archivos.</w:t>
            </w:r>
          </w:p>
        </w:tc>
        <w:tc>
          <w:tcPr>
            <w:tcW w:w="3118" w:type="dxa"/>
            <w:tcBorders>
              <w:top w:val="single" w:sz="4" w:space="0" w:color="auto"/>
              <w:bottom w:val="single" w:sz="4" w:space="0" w:color="auto"/>
            </w:tcBorders>
            <w:shd w:val="clear" w:color="auto" w:fill="auto"/>
            <w:vAlign w:val="center"/>
          </w:tcPr>
          <w:p w14:paraId="3C2EDFAD"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86.67.</w:t>
            </w:r>
          </w:p>
        </w:tc>
        <w:tc>
          <w:tcPr>
            <w:tcW w:w="1560" w:type="dxa"/>
            <w:shd w:val="clear" w:color="auto" w:fill="auto"/>
            <w:vAlign w:val="center"/>
          </w:tcPr>
          <w:p w14:paraId="6D47CEDB" w14:textId="77777777" w:rsidR="009C2934" w:rsidRPr="00471560" w:rsidRDefault="009C2934" w:rsidP="00C51C55">
            <w:pPr>
              <w:pStyle w:val="Contenido1"/>
              <w:jc w:val="center"/>
            </w:pPr>
            <w:r w:rsidRPr="00471560">
              <w:t>1</w:t>
            </w:r>
          </w:p>
        </w:tc>
      </w:tr>
      <w:tr w:rsidR="009C2934" w:rsidRPr="00471560" w14:paraId="66E1728A" w14:textId="77777777" w:rsidTr="00E373D4">
        <w:trPr>
          <w:trHeight w:val="70"/>
          <w:jc w:val="center"/>
        </w:trPr>
        <w:tc>
          <w:tcPr>
            <w:tcW w:w="1270" w:type="dxa"/>
            <w:vMerge/>
            <w:shd w:val="clear" w:color="auto" w:fill="auto"/>
            <w:vAlign w:val="center"/>
          </w:tcPr>
          <w:p w14:paraId="46636298"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6DCA29F9"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7FB91D9B" w14:textId="77777777" w:rsidR="009C2934" w:rsidRPr="00471560" w:rsidRDefault="009C2934" w:rsidP="00C51C55">
            <w:pPr>
              <w:pStyle w:val="Contenido1"/>
            </w:pPr>
            <w:r w:rsidRPr="00471560">
              <w:t>Servicio de apoyo para elaboración de firmas electrónicas, actualizar información del sitio web de Posgrado, elaborar y publicar carteles referentes a los cursos impartidos por el área, la creación de correos electrónicos de los estudiantes de nuevo ingreso y en las bajas de correos electrónicos de los egresados, actualizar la información referente al SNP, capacitación a los estudiantes en el manejo de los sistemas de servicios escolares, control del área de cómputo, control de equipos de impresión.</w:t>
            </w:r>
          </w:p>
        </w:tc>
        <w:tc>
          <w:tcPr>
            <w:tcW w:w="3118" w:type="dxa"/>
            <w:tcBorders>
              <w:top w:val="single" w:sz="4" w:space="0" w:color="auto"/>
              <w:bottom w:val="single" w:sz="4" w:space="0" w:color="auto"/>
            </w:tcBorders>
            <w:shd w:val="clear" w:color="auto" w:fill="auto"/>
            <w:vAlign w:val="center"/>
          </w:tcPr>
          <w:p w14:paraId="7BB1AFBA"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83.33.</w:t>
            </w:r>
          </w:p>
        </w:tc>
        <w:tc>
          <w:tcPr>
            <w:tcW w:w="1560" w:type="dxa"/>
            <w:shd w:val="clear" w:color="auto" w:fill="auto"/>
            <w:vAlign w:val="center"/>
          </w:tcPr>
          <w:p w14:paraId="6AAF6C7A" w14:textId="77777777" w:rsidR="009C2934" w:rsidRPr="00471560" w:rsidRDefault="009C2934" w:rsidP="00C51C55">
            <w:pPr>
              <w:pStyle w:val="Contenido1"/>
              <w:jc w:val="center"/>
            </w:pPr>
            <w:r w:rsidRPr="00471560">
              <w:t>1</w:t>
            </w:r>
          </w:p>
        </w:tc>
      </w:tr>
      <w:tr w:rsidR="009C2934" w:rsidRPr="00471560" w14:paraId="34FC0477" w14:textId="77777777" w:rsidTr="00E373D4">
        <w:trPr>
          <w:trHeight w:val="70"/>
          <w:jc w:val="center"/>
        </w:trPr>
        <w:tc>
          <w:tcPr>
            <w:tcW w:w="1270" w:type="dxa"/>
            <w:vMerge/>
            <w:shd w:val="clear" w:color="auto" w:fill="auto"/>
            <w:vAlign w:val="center"/>
          </w:tcPr>
          <w:p w14:paraId="71F3F963"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37B34254"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730451A0" w14:textId="7985D5C6" w:rsidR="009C2934" w:rsidRPr="00471560" w:rsidRDefault="009C2934" w:rsidP="00C51C55">
            <w:pPr>
              <w:pStyle w:val="Contenido1"/>
            </w:pPr>
            <w:r w:rsidRPr="00471560">
              <w:t xml:space="preserve">Servicio para elaborar documentación sobre proyectos o sistemas ejecutados y propuestos de la Coordinación de TIC, para dar cumplimiento a diversas disposiciones de la SFP, establecidas en el modelo del manual general de TICs y otras solicitudes internas. Integración de información para el sistema DASIT, integración información para al sistema POTIC, apoyo en la elaboración de documentación de proyectos del área, de los estudios de factibilidad sobre TICs institucionales, recopilación de </w:t>
            </w:r>
            <w:r w:rsidRPr="00471560">
              <w:lastRenderedPageBreak/>
              <w:t>información necesarias para los formatos de TICs.</w:t>
            </w:r>
          </w:p>
        </w:tc>
        <w:tc>
          <w:tcPr>
            <w:tcW w:w="3118" w:type="dxa"/>
            <w:tcBorders>
              <w:top w:val="single" w:sz="4" w:space="0" w:color="auto"/>
              <w:bottom w:val="single" w:sz="4" w:space="0" w:color="auto"/>
            </w:tcBorders>
            <w:shd w:val="clear" w:color="auto" w:fill="auto"/>
            <w:vAlign w:val="center"/>
          </w:tcPr>
          <w:p w14:paraId="07BC6169" w14:textId="77777777" w:rsidR="009C2934" w:rsidRPr="00471560" w:rsidRDefault="009C2934" w:rsidP="00C51C55">
            <w:pPr>
              <w:pStyle w:val="Contenido1"/>
            </w:pPr>
            <w:r w:rsidRPr="00471560">
              <w:lastRenderedPageBreak/>
              <w:t xml:space="preserve">Servicio contratado al prestador del servicio que cotizó el precio más bajo. </w:t>
            </w:r>
            <w:r w:rsidRPr="00471560">
              <w:br/>
              <w:t>Gasto cubierto con recursos fiscales por 101.44.</w:t>
            </w:r>
          </w:p>
        </w:tc>
        <w:tc>
          <w:tcPr>
            <w:tcW w:w="1560" w:type="dxa"/>
            <w:shd w:val="clear" w:color="auto" w:fill="auto"/>
            <w:vAlign w:val="center"/>
          </w:tcPr>
          <w:p w14:paraId="60F1BD67" w14:textId="77777777" w:rsidR="009C2934" w:rsidRPr="00471560" w:rsidRDefault="009C2934" w:rsidP="00C51C55">
            <w:pPr>
              <w:pStyle w:val="Contenido1"/>
              <w:jc w:val="center"/>
            </w:pPr>
            <w:r w:rsidRPr="00471560">
              <w:t>1</w:t>
            </w:r>
          </w:p>
        </w:tc>
      </w:tr>
      <w:tr w:rsidR="009C2934" w:rsidRPr="00471560" w14:paraId="563FB639" w14:textId="77777777" w:rsidTr="00E373D4">
        <w:trPr>
          <w:trHeight w:val="70"/>
          <w:jc w:val="center"/>
        </w:trPr>
        <w:tc>
          <w:tcPr>
            <w:tcW w:w="1270" w:type="dxa"/>
            <w:vMerge/>
            <w:shd w:val="clear" w:color="auto" w:fill="auto"/>
            <w:vAlign w:val="center"/>
          </w:tcPr>
          <w:p w14:paraId="43442039"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27950021"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1A32A82A" w14:textId="77777777" w:rsidR="009C2934" w:rsidRPr="00471560" w:rsidRDefault="009C2934" w:rsidP="00C51C55">
            <w:pPr>
              <w:pStyle w:val="Contenido1"/>
            </w:pPr>
            <w:r w:rsidRPr="00471560">
              <w:t>Servicio de administración de sitios web del INECOL, publicación de artículos de divulgación, actualización de páginas de investigadores y técnicos, publicación de noticias, eventos, cursos, seminarios, edición de fotografías e imágenes, mantenimiento de sitios web del INECOL, jardín botánico, estaciones, proyectos de investigación.</w:t>
            </w:r>
          </w:p>
        </w:tc>
        <w:tc>
          <w:tcPr>
            <w:tcW w:w="3118" w:type="dxa"/>
            <w:tcBorders>
              <w:top w:val="single" w:sz="4" w:space="0" w:color="auto"/>
              <w:bottom w:val="single" w:sz="4" w:space="0" w:color="auto"/>
            </w:tcBorders>
            <w:shd w:val="clear" w:color="auto" w:fill="auto"/>
            <w:vAlign w:val="center"/>
          </w:tcPr>
          <w:p w14:paraId="246A1340"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101.44.</w:t>
            </w:r>
          </w:p>
        </w:tc>
        <w:tc>
          <w:tcPr>
            <w:tcW w:w="1560" w:type="dxa"/>
            <w:shd w:val="clear" w:color="auto" w:fill="auto"/>
            <w:vAlign w:val="center"/>
          </w:tcPr>
          <w:p w14:paraId="14713660" w14:textId="77777777" w:rsidR="009C2934" w:rsidRPr="00471560" w:rsidRDefault="009C2934" w:rsidP="00C51C55">
            <w:pPr>
              <w:pStyle w:val="Contenido1"/>
              <w:jc w:val="center"/>
            </w:pPr>
            <w:r w:rsidRPr="00471560">
              <w:t>1</w:t>
            </w:r>
          </w:p>
        </w:tc>
      </w:tr>
      <w:tr w:rsidR="009C2934" w:rsidRPr="00471560" w14:paraId="4A5D88F8" w14:textId="77777777" w:rsidTr="00E373D4">
        <w:trPr>
          <w:trHeight w:val="70"/>
          <w:jc w:val="center"/>
        </w:trPr>
        <w:tc>
          <w:tcPr>
            <w:tcW w:w="1270" w:type="dxa"/>
            <w:vMerge/>
            <w:shd w:val="clear" w:color="auto" w:fill="auto"/>
            <w:vAlign w:val="center"/>
          </w:tcPr>
          <w:p w14:paraId="653E8F22"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2C05F0CE"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7AF3E66D" w14:textId="77777777" w:rsidR="009C2934" w:rsidRPr="00471560" w:rsidRDefault="009C2934" w:rsidP="00C51C55">
            <w:pPr>
              <w:pStyle w:val="Contenido1"/>
            </w:pPr>
            <w:r w:rsidRPr="00471560">
              <w:t>Servicio de recarga de extintores y mantenimiento 8 estaciones de manguera y sistema CI de las instalaciones de “El INECOL” en Xalapa (Campus l, Campus ll, Campus III y, USPAE, Recepción y estación “Cicolma”)</w:t>
            </w:r>
          </w:p>
        </w:tc>
        <w:tc>
          <w:tcPr>
            <w:tcW w:w="3118" w:type="dxa"/>
            <w:tcBorders>
              <w:top w:val="single" w:sz="4" w:space="0" w:color="auto"/>
              <w:bottom w:val="single" w:sz="4" w:space="0" w:color="auto"/>
            </w:tcBorders>
            <w:shd w:val="clear" w:color="auto" w:fill="auto"/>
            <w:vAlign w:val="center"/>
          </w:tcPr>
          <w:p w14:paraId="79DBCA65"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364.69.</w:t>
            </w:r>
          </w:p>
        </w:tc>
        <w:tc>
          <w:tcPr>
            <w:tcW w:w="1560" w:type="dxa"/>
            <w:shd w:val="clear" w:color="auto" w:fill="auto"/>
            <w:vAlign w:val="center"/>
          </w:tcPr>
          <w:p w14:paraId="7FF08CFB" w14:textId="77777777" w:rsidR="009C2934" w:rsidRPr="00471560" w:rsidRDefault="009C2934" w:rsidP="00C51C55">
            <w:pPr>
              <w:pStyle w:val="Contenido1"/>
              <w:jc w:val="center"/>
            </w:pPr>
            <w:r w:rsidRPr="00471560">
              <w:t>1</w:t>
            </w:r>
          </w:p>
        </w:tc>
      </w:tr>
      <w:tr w:rsidR="009C2934" w:rsidRPr="00471560" w14:paraId="075AFF39" w14:textId="77777777" w:rsidTr="00E373D4">
        <w:trPr>
          <w:trHeight w:val="70"/>
          <w:jc w:val="center"/>
        </w:trPr>
        <w:tc>
          <w:tcPr>
            <w:tcW w:w="1270" w:type="dxa"/>
            <w:vMerge/>
            <w:shd w:val="clear" w:color="auto" w:fill="auto"/>
            <w:vAlign w:val="center"/>
          </w:tcPr>
          <w:p w14:paraId="015C81D1"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54ECDBBB"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1DB6869A" w14:textId="77777777" w:rsidR="009C2934" w:rsidRPr="00471560" w:rsidRDefault="009C2934" w:rsidP="00C51C55">
            <w:pPr>
              <w:pStyle w:val="Contenido1"/>
            </w:pPr>
            <w:r w:rsidRPr="00471560">
              <w:t>Manejo y atención especializada a las Colecciones Nacionales, parcela vertical del Jardín Botánico “Francisco Javier Clavijero” del INECOL. Manejo biológico especializado de las colecciones nacionales de cícadas, bambúes e insectívoras. Ecología de restauración en la parcela vertical. Manejo y gestión biológica especializada de las colecciones científicas de orquídeas y de híbridos antiguos.</w:t>
            </w:r>
          </w:p>
        </w:tc>
        <w:tc>
          <w:tcPr>
            <w:tcW w:w="3118" w:type="dxa"/>
            <w:tcBorders>
              <w:top w:val="single" w:sz="4" w:space="0" w:color="auto"/>
              <w:bottom w:val="single" w:sz="4" w:space="0" w:color="auto"/>
            </w:tcBorders>
            <w:shd w:val="clear" w:color="auto" w:fill="auto"/>
            <w:vAlign w:val="center"/>
          </w:tcPr>
          <w:p w14:paraId="7E5695F0"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40.00.</w:t>
            </w:r>
          </w:p>
        </w:tc>
        <w:tc>
          <w:tcPr>
            <w:tcW w:w="1560" w:type="dxa"/>
            <w:shd w:val="clear" w:color="auto" w:fill="auto"/>
            <w:vAlign w:val="center"/>
          </w:tcPr>
          <w:p w14:paraId="5AC309C7" w14:textId="77777777" w:rsidR="009C2934" w:rsidRPr="00471560" w:rsidRDefault="009C2934" w:rsidP="00C51C55">
            <w:pPr>
              <w:pStyle w:val="Contenido1"/>
              <w:jc w:val="center"/>
            </w:pPr>
            <w:r w:rsidRPr="00471560">
              <w:t>1</w:t>
            </w:r>
          </w:p>
        </w:tc>
      </w:tr>
      <w:tr w:rsidR="009C2934" w:rsidRPr="00471560" w14:paraId="098751C2" w14:textId="77777777" w:rsidTr="00E373D4">
        <w:trPr>
          <w:trHeight w:val="70"/>
          <w:jc w:val="center"/>
        </w:trPr>
        <w:tc>
          <w:tcPr>
            <w:tcW w:w="1270" w:type="dxa"/>
            <w:vMerge/>
            <w:shd w:val="clear" w:color="auto" w:fill="auto"/>
            <w:vAlign w:val="center"/>
          </w:tcPr>
          <w:p w14:paraId="48FDDEB6"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4E55BE03"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4A676762" w14:textId="77777777" w:rsidR="009C2934" w:rsidRPr="00471560" w:rsidRDefault="009C2934" w:rsidP="00C51C55">
            <w:pPr>
              <w:pStyle w:val="Contenido1"/>
            </w:pPr>
            <w:r w:rsidRPr="00471560">
              <w:t>Servicios de apoyo administrativo en verificación de facturas de proveedores en el portal del SAT, solicitud y captura de cuentas bancarias de proveedores nuevos así como confirmación de proveedores vigentes, verificación constante de proveedores no sancionados, elaboración de cartas de conflicto de intereses de los servidores públicos que participan en los procesos de compra, apoyo en los trámites de pago, confirmación de estos con proveedores y apoyo en revisión de solicitudes para el Comité de Adquisiciones, Arrendamientos y Servicios (CAAS), así como apoyo en las diferentes actividades que se realizan dentro del Departamento.</w:t>
            </w:r>
          </w:p>
        </w:tc>
        <w:tc>
          <w:tcPr>
            <w:tcW w:w="3118" w:type="dxa"/>
            <w:tcBorders>
              <w:top w:val="single" w:sz="4" w:space="0" w:color="auto"/>
              <w:bottom w:val="single" w:sz="4" w:space="0" w:color="auto"/>
            </w:tcBorders>
            <w:shd w:val="clear" w:color="auto" w:fill="auto"/>
            <w:vAlign w:val="center"/>
          </w:tcPr>
          <w:p w14:paraId="7BF602D3"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20.00.</w:t>
            </w:r>
          </w:p>
        </w:tc>
        <w:tc>
          <w:tcPr>
            <w:tcW w:w="1560" w:type="dxa"/>
            <w:shd w:val="clear" w:color="auto" w:fill="auto"/>
            <w:vAlign w:val="center"/>
          </w:tcPr>
          <w:p w14:paraId="27D74BE5" w14:textId="77777777" w:rsidR="009C2934" w:rsidRPr="00471560" w:rsidRDefault="009C2934" w:rsidP="00C51C55">
            <w:pPr>
              <w:pStyle w:val="Contenido1"/>
              <w:jc w:val="center"/>
            </w:pPr>
            <w:r w:rsidRPr="00471560">
              <w:t>1</w:t>
            </w:r>
          </w:p>
        </w:tc>
      </w:tr>
      <w:tr w:rsidR="009C2934" w:rsidRPr="00471560" w14:paraId="5017B0FB" w14:textId="77777777" w:rsidTr="00E373D4">
        <w:trPr>
          <w:trHeight w:val="70"/>
          <w:jc w:val="center"/>
        </w:trPr>
        <w:tc>
          <w:tcPr>
            <w:tcW w:w="1270" w:type="dxa"/>
            <w:vMerge/>
            <w:shd w:val="clear" w:color="auto" w:fill="auto"/>
            <w:vAlign w:val="center"/>
          </w:tcPr>
          <w:p w14:paraId="2758307B"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7D48B094"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68AB0C0F" w14:textId="77777777" w:rsidR="009C2934" w:rsidRPr="00471560" w:rsidRDefault="009C2934" w:rsidP="00C51C55">
            <w:pPr>
              <w:pStyle w:val="Contenido1"/>
            </w:pPr>
            <w:r w:rsidRPr="00471560">
              <w:t>servicio de apoyo administrativo para el desarrollo de procedimientos de contrataciones extraordinarios (cierre presupuestal de mayo y cartera de inversión 2024).</w:t>
            </w:r>
          </w:p>
        </w:tc>
        <w:tc>
          <w:tcPr>
            <w:tcW w:w="3118" w:type="dxa"/>
            <w:tcBorders>
              <w:top w:val="single" w:sz="4" w:space="0" w:color="auto"/>
              <w:bottom w:val="single" w:sz="4" w:space="0" w:color="auto"/>
            </w:tcBorders>
            <w:shd w:val="clear" w:color="auto" w:fill="auto"/>
            <w:vAlign w:val="center"/>
          </w:tcPr>
          <w:p w14:paraId="04FA83AE"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14.00.</w:t>
            </w:r>
          </w:p>
        </w:tc>
        <w:tc>
          <w:tcPr>
            <w:tcW w:w="1560" w:type="dxa"/>
            <w:shd w:val="clear" w:color="auto" w:fill="auto"/>
            <w:vAlign w:val="center"/>
          </w:tcPr>
          <w:p w14:paraId="199A50BA" w14:textId="77777777" w:rsidR="009C2934" w:rsidRPr="00471560" w:rsidRDefault="009C2934" w:rsidP="00C51C55">
            <w:pPr>
              <w:pStyle w:val="Contenido1"/>
              <w:jc w:val="center"/>
            </w:pPr>
            <w:r w:rsidRPr="00471560">
              <w:t>1</w:t>
            </w:r>
          </w:p>
        </w:tc>
      </w:tr>
      <w:tr w:rsidR="009C2934" w:rsidRPr="00471560" w14:paraId="64EB5125" w14:textId="77777777" w:rsidTr="00E373D4">
        <w:trPr>
          <w:trHeight w:val="70"/>
          <w:jc w:val="center"/>
        </w:trPr>
        <w:tc>
          <w:tcPr>
            <w:tcW w:w="1270" w:type="dxa"/>
            <w:vMerge/>
            <w:shd w:val="clear" w:color="auto" w:fill="auto"/>
            <w:vAlign w:val="center"/>
          </w:tcPr>
          <w:p w14:paraId="37ED7CFA"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2CE05CF6"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365B108D" w14:textId="77777777" w:rsidR="009C2934" w:rsidRPr="00471560" w:rsidRDefault="009C2934" w:rsidP="00C51C55">
            <w:pPr>
              <w:pStyle w:val="Contenido1"/>
            </w:pPr>
            <w:r w:rsidRPr="00471560">
              <w:t>servicio de apoyo administrativo para el desarrollo de procedimientos de contrataciones extraordinarios (cierre presupuestal de mayo y cartera de inversión 2024).</w:t>
            </w:r>
          </w:p>
        </w:tc>
        <w:tc>
          <w:tcPr>
            <w:tcW w:w="3118" w:type="dxa"/>
            <w:tcBorders>
              <w:top w:val="single" w:sz="4" w:space="0" w:color="auto"/>
              <w:bottom w:val="single" w:sz="4" w:space="0" w:color="auto"/>
            </w:tcBorders>
            <w:shd w:val="clear" w:color="auto" w:fill="auto"/>
            <w:vAlign w:val="center"/>
          </w:tcPr>
          <w:p w14:paraId="5E96BA20"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14.00.</w:t>
            </w:r>
          </w:p>
        </w:tc>
        <w:tc>
          <w:tcPr>
            <w:tcW w:w="1560" w:type="dxa"/>
            <w:shd w:val="clear" w:color="auto" w:fill="auto"/>
            <w:vAlign w:val="center"/>
          </w:tcPr>
          <w:p w14:paraId="576F53B6" w14:textId="77777777" w:rsidR="009C2934" w:rsidRPr="00471560" w:rsidRDefault="009C2934" w:rsidP="00C51C55">
            <w:pPr>
              <w:pStyle w:val="Contenido1"/>
              <w:jc w:val="center"/>
            </w:pPr>
            <w:r w:rsidRPr="00471560">
              <w:t>1</w:t>
            </w:r>
          </w:p>
        </w:tc>
      </w:tr>
      <w:tr w:rsidR="009C2934" w:rsidRPr="00471560" w14:paraId="2CC31B2E" w14:textId="77777777" w:rsidTr="00E373D4">
        <w:trPr>
          <w:trHeight w:val="70"/>
          <w:jc w:val="center"/>
        </w:trPr>
        <w:tc>
          <w:tcPr>
            <w:tcW w:w="1270" w:type="dxa"/>
            <w:vMerge/>
            <w:shd w:val="clear" w:color="auto" w:fill="auto"/>
            <w:vAlign w:val="center"/>
          </w:tcPr>
          <w:p w14:paraId="3294E517"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1525655F"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56AEA1F6" w14:textId="1E66FBFA" w:rsidR="009C2934" w:rsidRPr="00471560" w:rsidRDefault="009C2934" w:rsidP="00C51C55">
            <w:pPr>
              <w:pStyle w:val="Contenido1"/>
            </w:pPr>
            <w:r w:rsidRPr="00471560">
              <w:t xml:space="preserve">servicio de: Manejo y </w:t>
            </w:r>
            <w:proofErr w:type="gramStart"/>
            <w:r w:rsidRPr="00471560">
              <w:t>viverización  de</w:t>
            </w:r>
            <w:proofErr w:type="gramEnd"/>
            <w:r w:rsidRPr="00471560">
              <w:t xml:space="preserve"> especies nativas y amenazadas del bosque mesófilo de montaña. Colecta de propagación de material vegetal. Manejo de plantas en vivero: trasplante, poda, fertilización, riego, etc. Siembra en parcelas de restauración y SBN. Labores de mantenimiento en parcelas de restauración (raleos, poda selectiva, limpieza de senderos, etc.).</w:t>
            </w:r>
          </w:p>
        </w:tc>
        <w:tc>
          <w:tcPr>
            <w:tcW w:w="3118" w:type="dxa"/>
            <w:tcBorders>
              <w:top w:val="single" w:sz="4" w:space="0" w:color="auto"/>
              <w:bottom w:val="single" w:sz="4" w:space="0" w:color="auto"/>
            </w:tcBorders>
            <w:shd w:val="clear" w:color="auto" w:fill="auto"/>
            <w:vAlign w:val="center"/>
          </w:tcPr>
          <w:p w14:paraId="048839E8"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10.00.</w:t>
            </w:r>
          </w:p>
        </w:tc>
        <w:tc>
          <w:tcPr>
            <w:tcW w:w="1560" w:type="dxa"/>
            <w:shd w:val="clear" w:color="auto" w:fill="auto"/>
            <w:vAlign w:val="center"/>
          </w:tcPr>
          <w:p w14:paraId="79221D18" w14:textId="77777777" w:rsidR="009C2934" w:rsidRPr="00471560" w:rsidRDefault="009C2934" w:rsidP="00C51C55">
            <w:pPr>
              <w:pStyle w:val="Contenido1"/>
              <w:jc w:val="center"/>
            </w:pPr>
            <w:r w:rsidRPr="00471560">
              <w:t>1</w:t>
            </w:r>
          </w:p>
        </w:tc>
      </w:tr>
      <w:tr w:rsidR="009C2934" w:rsidRPr="00471560" w14:paraId="492D8D0A" w14:textId="77777777" w:rsidTr="00E373D4">
        <w:trPr>
          <w:trHeight w:val="70"/>
          <w:jc w:val="center"/>
        </w:trPr>
        <w:tc>
          <w:tcPr>
            <w:tcW w:w="1270" w:type="dxa"/>
            <w:vMerge/>
            <w:shd w:val="clear" w:color="auto" w:fill="auto"/>
            <w:vAlign w:val="center"/>
          </w:tcPr>
          <w:p w14:paraId="53F6781F"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316B10E2"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73737CD9" w14:textId="77777777" w:rsidR="009C2934" w:rsidRPr="00471560" w:rsidRDefault="009C2934" w:rsidP="00C51C55">
            <w:pPr>
              <w:pStyle w:val="Contenido1"/>
            </w:pPr>
            <w:r w:rsidRPr="00471560">
              <w:t>Servicio de mantenimiento preventivo y correctivo a 19 electrobombas de El INECOL en Xalapa Ver.</w:t>
            </w:r>
          </w:p>
        </w:tc>
        <w:tc>
          <w:tcPr>
            <w:tcW w:w="3118" w:type="dxa"/>
            <w:tcBorders>
              <w:top w:val="single" w:sz="4" w:space="0" w:color="auto"/>
              <w:bottom w:val="single" w:sz="4" w:space="0" w:color="auto"/>
            </w:tcBorders>
            <w:shd w:val="clear" w:color="auto" w:fill="auto"/>
            <w:vAlign w:val="center"/>
          </w:tcPr>
          <w:p w14:paraId="30898D5D"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180.61.</w:t>
            </w:r>
          </w:p>
        </w:tc>
        <w:tc>
          <w:tcPr>
            <w:tcW w:w="1560" w:type="dxa"/>
            <w:shd w:val="clear" w:color="auto" w:fill="auto"/>
            <w:vAlign w:val="center"/>
          </w:tcPr>
          <w:p w14:paraId="2800FE6E" w14:textId="77777777" w:rsidR="009C2934" w:rsidRPr="00471560" w:rsidRDefault="009C2934" w:rsidP="00C51C55">
            <w:pPr>
              <w:pStyle w:val="Contenido1"/>
              <w:jc w:val="center"/>
            </w:pPr>
            <w:r w:rsidRPr="00471560">
              <w:t>1</w:t>
            </w:r>
          </w:p>
        </w:tc>
      </w:tr>
      <w:tr w:rsidR="009C2934" w:rsidRPr="00471560" w14:paraId="7666F0D6" w14:textId="77777777" w:rsidTr="00E373D4">
        <w:trPr>
          <w:trHeight w:val="1320"/>
          <w:jc w:val="center"/>
        </w:trPr>
        <w:tc>
          <w:tcPr>
            <w:tcW w:w="1270" w:type="dxa"/>
            <w:vMerge/>
            <w:shd w:val="clear" w:color="auto" w:fill="auto"/>
            <w:vAlign w:val="center"/>
          </w:tcPr>
          <w:p w14:paraId="7388929E"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596DBD5E"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tcBorders>
            <w:shd w:val="clear" w:color="auto" w:fill="auto"/>
            <w:vAlign w:val="center"/>
          </w:tcPr>
          <w:p w14:paraId="6206B6A8" w14:textId="77777777" w:rsidR="009C2934" w:rsidRPr="00471560" w:rsidRDefault="009C2934" w:rsidP="00C51C55">
            <w:pPr>
              <w:pStyle w:val="Contenido1"/>
            </w:pPr>
            <w:r w:rsidRPr="00471560">
              <w:t>Mantenimiento al sistema contraincendios del Campus III</w:t>
            </w:r>
          </w:p>
        </w:tc>
        <w:tc>
          <w:tcPr>
            <w:tcW w:w="3118" w:type="dxa"/>
            <w:tcBorders>
              <w:top w:val="single" w:sz="4" w:space="0" w:color="auto"/>
            </w:tcBorders>
            <w:shd w:val="clear" w:color="auto" w:fill="auto"/>
            <w:vAlign w:val="center"/>
          </w:tcPr>
          <w:p w14:paraId="369A405F"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110.20.</w:t>
            </w:r>
          </w:p>
        </w:tc>
        <w:tc>
          <w:tcPr>
            <w:tcW w:w="1560" w:type="dxa"/>
            <w:shd w:val="clear" w:color="auto" w:fill="auto"/>
            <w:vAlign w:val="center"/>
          </w:tcPr>
          <w:p w14:paraId="56A44138" w14:textId="77777777" w:rsidR="009C2934" w:rsidRPr="00471560" w:rsidRDefault="009C2934" w:rsidP="00C51C55">
            <w:pPr>
              <w:pStyle w:val="Contenido1"/>
              <w:jc w:val="center"/>
            </w:pPr>
            <w:r w:rsidRPr="00471560">
              <w:t>1</w:t>
            </w:r>
          </w:p>
        </w:tc>
      </w:tr>
      <w:tr w:rsidR="009C2934" w:rsidRPr="00471560" w14:paraId="1A6D63D8" w14:textId="77777777" w:rsidTr="00E373D4">
        <w:trPr>
          <w:trHeight w:val="70"/>
          <w:jc w:val="center"/>
        </w:trPr>
        <w:tc>
          <w:tcPr>
            <w:tcW w:w="1270" w:type="dxa"/>
            <w:vMerge w:val="restart"/>
            <w:shd w:val="clear" w:color="auto" w:fill="auto"/>
            <w:vAlign w:val="center"/>
          </w:tcPr>
          <w:p w14:paraId="6632265E" w14:textId="77777777" w:rsidR="009C2934" w:rsidRPr="00C45FF1" w:rsidRDefault="009C2934" w:rsidP="00C51C55">
            <w:pPr>
              <w:spacing w:before="0" w:after="0"/>
              <w:jc w:val="center"/>
              <w:rPr>
                <w:rFonts w:ascii="Geomanist" w:hAnsi="Geomanist"/>
                <w:sz w:val="20"/>
                <w:szCs w:val="24"/>
              </w:rPr>
            </w:pPr>
            <w:r w:rsidRPr="00C45FF1">
              <w:rPr>
                <w:rFonts w:ascii="Geomanist" w:hAnsi="Geomanist"/>
                <w:sz w:val="20"/>
                <w:szCs w:val="24"/>
              </w:rPr>
              <w:t>XX</w:t>
            </w:r>
          </w:p>
        </w:tc>
        <w:tc>
          <w:tcPr>
            <w:tcW w:w="1275" w:type="dxa"/>
            <w:vMerge w:val="restart"/>
            <w:shd w:val="clear" w:color="auto" w:fill="auto"/>
            <w:vAlign w:val="center"/>
          </w:tcPr>
          <w:p w14:paraId="2CF6E241" w14:textId="77777777" w:rsidR="009C2934" w:rsidRPr="00C45FF1" w:rsidRDefault="009C2934" w:rsidP="00C51C55">
            <w:pPr>
              <w:spacing w:before="0" w:after="0"/>
              <w:jc w:val="center"/>
              <w:rPr>
                <w:rFonts w:ascii="Geomanist" w:hAnsi="Geomanist"/>
                <w:sz w:val="20"/>
                <w:szCs w:val="24"/>
              </w:rPr>
            </w:pPr>
            <w:r w:rsidRPr="00C45FF1">
              <w:rPr>
                <w:rFonts w:ascii="Geomanist" w:hAnsi="Geomanist"/>
                <w:sz w:val="20"/>
                <w:szCs w:val="24"/>
              </w:rPr>
              <w:t>1,083.94</w:t>
            </w:r>
          </w:p>
        </w:tc>
        <w:tc>
          <w:tcPr>
            <w:tcW w:w="3404" w:type="dxa"/>
            <w:tcBorders>
              <w:top w:val="single" w:sz="4" w:space="0" w:color="auto"/>
              <w:bottom w:val="single" w:sz="4" w:space="0" w:color="auto"/>
            </w:tcBorders>
            <w:shd w:val="clear" w:color="auto" w:fill="auto"/>
            <w:vAlign w:val="center"/>
          </w:tcPr>
          <w:p w14:paraId="1652A5FE" w14:textId="77777777" w:rsidR="009C2934" w:rsidRPr="00471560" w:rsidRDefault="009C2934" w:rsidP="00C51C55">
            <w:pPr>
              <w:pStyle w:val="Contenido1"/>
            </w:pPr>
            <w:r w:rsidRPr="00471560">
              <w:t>Arrendamiento de equipo de cómputo en las instalaciones de El INECOL en la ciudad de Xalapa, Ver.</w:t>
            </w:r>
          </w:p>
        </w:tc>
        <w:tc>
          <w:tcPr>
            <w:tcW w:w="3118" w:type="dxa"/>
            <w:tcBorders>
              <w:top w:val="single" w:sz="4" w:space="0" w:color="auto"/>
              <w:bottom w:val="single" w:sz="4" w:space="0" w:color="auto"/>
            </w:tcBorders>
            <w:shd w:val="clear" w:color="auto" w:fill="auto"/>
            <w:vAlign w:val="center"/>
          </w:tcPr>
          <w:p w14:paraId="7BB6B499"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908.31.</w:t>
            </w:r>
          </w:p>
        </w:tc>
        <w:tc>
          <w:tcPr>
            <w:tcW w:w="1560" w:type="dxa"/>
            <w:shd w:val="clear" w:color="auto" w:fill="auto"/>
            <w:vAlign w:val="center"/>
          </w:tcPr>
          <w:p w14:paraId="2B3B3BAF" w14:textId="77777777" w:rsidR="009C2934" w:rsidRPr="00471560" w:rsidRDefault="009C2934" w:rsidP="00C51C55">
            <w:pPr>
              <w:pStyle w:val="Contenido1"/>
              <w:jc w:val="center"/>
            </w:pPr>
            <w:r w:rsidRPr="00471560">
              <w:t>1</w:t>
            </w:r>
          </w:p>
        </w:tc>
      </w:tr>
      <w:tr w:rsidR="009C2934" w:rsidRPr="00471560" w14:paraId="4DC6F5C8" w14:textId="77777777" w:rsidTr="00E373D4">
        <w:trPr>
          <w:trHeight w:val="70"/>
          <w:jc w:val="center"/>
        </w:trPr>
        <w:tc>
          <w:tcPr>
            <w:tcW w:w="1270" w:type="dxa"/>
            <w:vMerge/>
            <w:shd w:val="clear" w:color="auto" w:fill="auto"/>
            <w:vAlign w:val="center"/>
          </w:tcPr>
          <w:p w14:paraId="719C22F1" w14:textId="77777777" w:rsidR="009C2934" w:rsidRPr="00471560" w:rsidRDefault="009C2934" w:rsidP="00C51C55">
            <w:pPr>
              <w:spacing w:before="0" w:after="0"/>
              <w:jc w:val="center"/>
              <w:rPr>
                <w:rFonts w:eastAsia="Calibri" w:cs="Times New Roman"/>
                <w:b/>
                <w:bCs/>
                <w:sz w:val="22"/>
              </w:rPr>
            </w:pPr>
          </w:p>
        </w:tc>
        <w:tc>
          <w:tcPr>
            <w:tcW w:w="1275" w:type="dxa"/>
            <w:vMerge/>
            <w:shd w:val="clear" w:color="auto" w:fill="auto"/>
            <w:vAlign w:val="center"/>
          </w:tcPr>
          <w:p w14:paraId="0DF570B7" w14:textId="77777777" w:rsidR="009C2934" w:rsidRPr="00471560" w:rsidRDefault="009C2934" w:rsidP="00C51C55">
            <w:pPr>
              <w:spacing w:before="0" w:after="0"/>
              <w:jc w:val="center"/>
              <w:rPr>
                <w:rFonts w:eastAsia="Calibri" w:cs="Times New Roman"/>
                <w:b/>
                <w:bCs/>
                <w:sz w:val="22"/>
              </w:rPr>
            </w:pPr>
          </w:p>
        </w:tc>
        <w:tc>
          <w:tcPr>
            <w:tcW w:w="3404" w:type="dxa"/>
            <w:tcBorders>
              <w:top w:val="single" w:sz="4" w:space="0" w:color="auto"/>
              <w:bottom w:val="single" w:sz="4" w:space="0" w:color="auto"/>
            </w:tcBorders>
            <w:shd w:val="clear" w:color="auto" w:fill="auto"/>
            <w:vAlign w:val="center"/>
          </w:tcPr>
          <w:p w14:paraId="1BF1C505" w14:textId="77777777" w:rsidR="009C2934" w:rsidRPr="00471560" w:rsidRDefault="009C2934" w:rsidP="00C51C55">
            <w:pPr>
              <w:pStyle w:val="Contenido1"/>
            </w:pPr>
            <w:r w:rsidRPr="00471560">
              <w:t>Servicio Administrado de fotocopiado, impresión y digitalización de documentos para el Instituto de Ecología, A.C.</w:t>
            </w:r>
          </w:p>
        </w:tc>
        <w:tc>
          <w:tcPr>
            <w:tcW w:w="3118" w:type="dxa"/>
            <w:tcBorders>
              <w:top w:val="single" w:sz="4" w:space="0" w:color="auto"/>
              <w:bottom w:val="single" w:sz="4" w:space="0" w:color="auto"/>
            </w:tcBorders>
            <w:shd w:val="clear" w:color="auto" w:fill="auto"/>
            <w:vAlign w:val="center"/>
          </w:tcPr>
          <w:p w14:paraId="25200E8F" w14:textId="77777777" w:rsidR="009C2934" w:rsidRPr="00471560" w:rsidRDefault="009C2934" w:rsidP="00C51C55">
            <w:pPr>
              <w:pStyle w:val="Contenido1"/>
            </w:pPr>
            <w:r w:rsidRPr="00471560">
              <w:t xml:space="preserve">Servicio contratado al prestador del servicio que cotizó el precio más bajo. </w:t>
            </w:r>
            <w:r w:rsidRPr="00471560">
              <w:br/>
              <w:t>Gasto cubierto con recursos fiscales por 175.63.</w:t>
            </w:r>
          </w:p>
        </w:tc>
        <w:tc>
          <w:tcPr>
            <w:tcW w:w="1560" w:type="dxa"/>
            <w:shd w:val="clear" w:color="auto" w:fill="auto"/>
            <w:vAlign w:val="center"/>
          </w:tcPr>
          <w:p w14:paraId="59DB5133" w14:textId="77777777" w:rsidR="009C2934" w:rsidRPr="00471560" w:rsidRDefault="009C2934" w:rsidP="00C51C55">
            <w:pPr>
              <w:pStyle w:val="Contenido1"/>
              <w:jc w:val="center"/>
            </w:pPr>
            <w:r w:rsidRPr="00471560">
              <w:t>1</w:t>
            </w:r>
          </w:p>
        </w:tc>
      </w:tr>
      <w:tr w:rsidR="009C2934" w:rsidRPr="003900E2" w14:paraId="78F33635" w14:textId="77777777" w:rsidTr="00E373D4">
        <w:trPr>
          <w:trHeight w:val="680"/>
          <w:jc w:val="center"/>
        </w:trPr>
        <w:tc>
          <w:tcPr>
            <w:tcW w:w="1270" w:type="dxa"/>
            <w:shd w:val="clear" w:color="auto" w:fill="auto"/>
            <w:vAlign w:val="center"/>
          </w:tcPr>
          <w:p w14:paraId="64CFD4D8" w14:textId="77777777" w:rsidR="009C2934" w:rsidRPr="00471560" w:rsidRDefault="009C2934" w:rsidP="00C51C55">
            <w:pPr>
              <w:pStyle w:val="Ttulo2"/>
              <w:spacing w:before="0"/>
              <w:jc w:val="center"/>
              <w:outlineLvl w:val="1"/>
            </w:pPr>
            <w:proofErr w:type="gramStart"/>
            <w:r w:rsidRPr="00471560">
              <w:t>Total</w:t>
            </w:r>
            <w:proofErr w:type="gramEnd"/>
            <w:r w:rsidRPr="00471560">
              <w:t xml:space="preserve"> Capítulo</w:t>
            </w:r>
          </w:p>
          <w:p w14:paraId="14253E7C" w14:textId="77777777" w:rsidR="009C2934" w:rsidRPr="00471560" w:rsidRDefault="009C2934" w:rsidP="00C51C55">
            <w:pPr>
              <w:pStyle w:val="Ttulo2"/>
              <w:spacing w:before="0"/>
              <w:jc w:val="center"/>
              <w:outlineLvl w:val="1"/>
            </w:pPr>
            <w:r w:rsidRPr="00471560">
              <w:t>3000</w:t>
            </w:r>
          </w:p>
        </w:tc>
        <w:tc>
          <w:tcPr>
            <w:tcW w:w="1275" w:type="dxa"/>
            <w:shd w:val="clear" w:color="auto" w:fill="auto"/>
            <w:vAlign w:val="center"/>
          </w:tcPr>
          <w:p w14:paraId="73DAD09E" w14:textId="77777777" w:rsidR="009C2934" w:rsidRPr="00974022" w:rsidRDefault="009C2934" w:rsidP="00C51C55">
            <w:pPr>
              <w:pStyle w:val="Ttulo2"/>
              <w:spacing w:before="0"/>
              <w:jc w:val="center"/>
              <w:outlineLvl w:val="1"/>
            </w:pPr>
            <w:r w:rsidRPr="00471560">
              <w:t>11,136.92</w:t>
            </w:r>
          </w:p>
        </w:tc>
        <w:tc>
          <w:tcPr>
            <w:tcW w:w="3404" w:type="dxa"/>
            <w:tcBorders>
              <w:top w:val="single" w:sz="4" w:space="0" w:color="auto"/>
              <w:bottom w:val="single" w:sz="4" w:space="0" w:color="auto"/>
            </w:tcBorders>
            <w:shd w:val="clear" w:color="auto" w:fill="auto"/>
            <w:vAlign w:val="center"/>
          </w:tcPr>
          <w:p w14:paraId="2C8238BB" w14:textId="77777777" w:rsidR="009C2934" w:rsidRPr="00403D5B" w:rsidRDefault="009C2934" w:rsidP="00C51C55">
            <w:pPr>
              <w:pStyle w:val="Textoindependiente"/>
              <w:jc w:val="center"/>
              <w:rPr>
                <w:rFonts w:ascii="Montserrat" w:eastAsia="MS Mincho" w:hAnsi="Montserrat" w:cstheme="minorBidi"/>
                <w:sz w:val="18"/>
                <w:szCs w:val="18"/>
                <w:lang w:val="es-ES_tradnl"/>
              </w:rPr>
            </w:pPr>
          </w:p>
        </w:tc>
        <w:tc>
          <w:tcPr>
            <w:tcW w:w="3118" w:type="dxa"/>
            <w:tcBorders>
              <w:top w:val="single" w:sz="4" w:space="0" w:color="auto"/>
              <w:bottom w:val="single" w:sz="4" w:space="0" w:color="auto"/>
            </w:tcBorders>
            <w:shd w:val="clear" w:color="auto" w:fill="auto"/>
            <w:vAlign w:val="center"/>
          </w:tcPr>
          <w:p w14:paraId="1AC7372D" w14:textId="77777777" w:rsidR="009C2934" w:rsidRPr="00403D5B" w:rsidRDefault="009C2934" w:rsidP="00C51C55">
            <w:pPr>
              <w:pStyle w:val="Textoindependiente"/>
              <w:jc w:val="center"/>
              <w:rPr>
                <w:rFonts w:ascii="Montserrat" w:eastAsia="MS Mincho" w:hAnsi="Montserrat" w:cstheme="minorBidi"/>
                <w:sz w:val="18"/>
                <w:szCs w:val="18"/>
                <w:lang w:val="es-ES_tradnl"/>
              </w:rPr>
            </w:pPr>
          </w:p>
        </w:tc>
        <w:tc>
          <w:tcPr>
            <w:tcW w:w="1560" w:type="dxa"/>
            <w:shd w:val="clear" w:color="auto" w:fill="auto"/>
            <w:vAlign w:val="center"/>
          </w:tcPr>
          <w:p w14:paraId="679C79A2" w14:textId="77777777" w:rsidR="009C2934" w:rsidRPr="003900E2" w:rsidRDefault="009C2934" w:rsidP="00C51C55">
            <w:pPr>
              <w:pStyle w:val="Textoindependiente"/>
              <w:jc w:val="center"/>
              <w:rPr>
                <w:rFonts w:ascii="Montserrat" w:eastAsia="MS Mincho" w:hAnsi="Montserrat" w:cstheme="minorBidi"/>
                <w:sz w:val="18"/>
                <w:szCs w:val="18"/>
                <w:lang w:val="es-ES_tradnl"/>
              </w:rPr>
            </w:pPr>
          </w:p>
        </w:tc>
      </w:tr>
    </w:tbl>
    <w:p w14:paraId="114B7BF1" w14:textId="77777777" w:rsidR="00F92269" w:rsidRDefault="00F92269" w:rsidP="009C2934">
      <w:pPr>
        <w:pStyle w:val="Contenido1"/>
      </w:pPr>
    </w:p>
    <w:sectPr w:rsidR="00F92269"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55F81" w14:textId="77777777" w:rsidR="00120F68" w:rsidRDefault="00120F68" w:rsidP="00734F2E">
      <w:pPr>
        <w:spacing w:before="0" w:after="0" w:line="240" w:lineRule="auto"/>
      </w:pPr>
      <w:r>
        <w:separator/>
      </w:r>
    </w:p>
  </w:endnote>
  <w:endnote w:type="continuationSeparator" w:id="0">
    <w:p w14:paraId="792FBDD3" w14:textId="77777777" w:rsidR="00120F68" w:rsidRDefault="00120F68"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Geomanist">
    <w:altName w:val="Calibri"/>
    <w:panose1 w:val="00000000000000000000"/>
    <w:charset w:val="4D"/>
    <w:family w:val="auto"/>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Geomanist Medium">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46BE3C59" w:rsidR="00A9012B" w:rsidRPr="005C486A" w:rsidRDefault="009C538D"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5F4D16A0">
              <wp:simplePos x="0" y="0"/>
              <wp:positionH relativeFrom="column">
                <wp:posOffset>-432435</wp:posOffset>
              </wp:positionH>
              <wp:positionV relativeFrom="paragraph">
                <wp:posOffset>-114935</wp:posOffset>
              </wp:positionV>
              <wp:extent cx="5215890" cy="271780"/>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5215890" cy="271780"/>
                      </a:xfrm>
                      <a:prstGeom prst="rect">
                        <a:avLst/>
                      </a:prstGeom>
                      <a:noFill/>
                      <a:ln w="6350">
                        <a:noFill/>
                      </a:ln>
                    </wps:spPr>
                    <wps:txbx>
                      <w:txbxContent>
                        <w:p w14:paraId="26D4F014" w14:textId="601AC481" w:rsidR="00FB3673" w:rsidRPr="00FB3673" w:rsidRDefault="009C538D">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5.12</w:t>
                          </w:r>
                          <w:r w:rsidR="00502878">
                            <w:rPr>
                              <w:sz w:val="16"/>
                              <w:szCs w:val="21"/>
                              <w:lang w:val="es-ES_tradnl"/>
                              <w14:textOutline w14:w="9525" w14:cap="rnd" w14:cmpd="sng" w14:algn="ctr">
                                <w14:solidFill>
                                  <w14:schemeClr w14:val="tx1">
                                    <w14:lumMod w14:val="50000"/>
                                    <w14:lumOff w14:val="50000"/>
                                  </w14:schemeClr>
                                </w14:solidFill>
                                <w14:prstDash w14:val="solid"/>
                                <w14:bevel/>
                              </w14:textOutline>
                            </w:rPr>
                            <w:t>a</w:t>
                          </w: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Integración Art.41 LAASSP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34.05pt;margin-top:-9.05pt;width:410.7pt;height:21.4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" filled="f" stroked="f" strokeweight=".5pt">
              <v:textbox>
                <w:txbxContent>
                  <w:p w14:paraId="26D4F014" w14:textId="601AC481" w:rsidR="00FB3673" w:rsidRPr="00FB3673" w:rsidRDefault="009C538D">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5.12</w:t>
                    </w:r>
                    <w:r w:rsidR="00502878">
                      <w:rPr>
                        <w:sz w:val="16"/>
                        <w:szCs w:val="21"/>
                        <w:lang w:val="es-ES_tradnl"/>
                        <w14:textOutline w14:w="9525" w14:cap="rnd" w14:cmpd="sng" w14:algn="ctr">
                          <w14:solidFill>
                            <w14:schemeClr w14:val="tx1">
                              <w14:lumMod w14:val="50000"/>
                              <w14:lumOff w14:val="50000"/>
                            </w14:schemeClr>
                          </w14:solidFill>
                          <w14:prstDash w14:val="solid"/>
                          <w14:bevel/>
                        </w14:textOutline>
                      </w:rPr>
                      <w:t>a</w:t>
                    </w:r>
                    <w:r>
                      <w:rPr>
                        <w:sz w:val="16"/>
                        <w:szCs w:val="21"/>
                        <w:lang w:val="es-ES_tradnl"/>
                        <w14:textOutline w14:w="9525" w14:cap="rnd" w14:cmpd="sng" w14:algn="ctr">
                          <w14:solidFill>
                            <w14:schemeClr w14:val="tx1">
                              <w14:lumMod w14:val="50000"/>
                              <w14:lumOff w14:val="50000"/>
                            </w14:schemeClr>
                          </w14:solidFill>
                          <w14:prstDash w14:val="solid"/>
                          <w14:bevel/>
                        </w14:textOutline>
                      </w:rPr>
                      <w:t xml:space="preserve"> Integración Art.41 LAASSP</w:t>
                    </w:r>
                  </w:p>
                </w:txbxContent>
              </v:textbox>
            </v:shape>
          </w:pict>
        </mc:Fallback>
      </mc:AlternateContent>
    </w:r>
    <w:r w:rsidR="00A1262B">
      <w:rPr>
        <w:noProof/>
      </w:rPr>
      <mc:AlternateContent>
        <mc:Choice Requires="wps">
          <w:drawing>
            <wp:anchor distT="0" distB="0" distL="114300" distR="114300" simplePos="0" relativeHeight="251655168" behindDoc="0" locked="0" layoutInCell="1" allowOverlap="1" wp14:anchorId="0FB7594A" wp14:editId="51A9415B">
              <wp:simplePos x="0" y="0"/>
              <wp:positionH relativeFrom="column">
                <wp:posOffset>4131945</wp:posOffset>
              </wp:positionH>
              <wp:positionV relativeFrom="paragraph">
                <wp:posOffset>579169</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8" type="#_x0000_t202" style="position:absolute;left:0;text-align:left;margin-left:325.3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l1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r w:rsidR="00A1262B">
      <w:rPr>
        <w:noProof/>
      </w:rPr>
      <mc:AlternateContent>
        <mc:Choice Requires="wps">
          <w:drawing>
            <wp:anchor distT="0" distB="0" distL="114300" distR="114300" simplePos="0" relativeHeight="251654143" behindDoc="0" locked="0" layoutInCell="1" allowOverlap="1" wp14:anchorId="40D5FE63" wp14:editId="1859F454">
              <wp:simplePos x="0" y="0"/>
              <wp:positionH relativeFrom="column">
                <wp:posOffset>-615315</wp:posOffset>
              </wp:positionH>
              <wp:positionV relativeFrom="paragraph">
                <wp:posOffset>237963</wp:posOffset>
              </wp:positionV>
              <wp:extent cx="5650523" cy="524656"/>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5FE63" id="_x0000_s1029" type="#_x0000_t202" style="position:absolute;left:0;text-align:left;margin-left:-48.45pt;margin-top:18.75pt;width:444.9pt;height:41.3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" filled="f" stroked="f" strokeweight=".5pt">
              <v:textbo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933F6" w14:textId="77777777" w:rsidR="00120F68" w:rsidRDefault="00120F68" w:rsidP="00734F2E">
      <w:pPr>
        <w:spacing w:before="0" w:after="0" w:line="240" w:lineRule="auto"/>
      </w:pPr>
      <w:r>
        <w:separator/>
      </w:r>
    </w:p>
  </w:footnote>
  <w:footnote w:type="continuationSeparator" w:id="0">
    <w:p w14:paraId="69C345D2" w14:textId="77777777" w:rsidR="00120F68" w:rsidRDefault="00120F68"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7AEE3E87" w:rsidR="001E44DE" w:rsidRPr="00E87317" w:rsidRDefault="00A1262B" w:rsidP="00E87317">
    <w:r>
      <w:rPr>
        <w:noProof/>
      </w:rPr>
      <mc:AlternateContent>
        <mc:Choice Requires="wps">
          <w:drawing>
            <wp:anchor distT="0" distB="0" distL="114300" distR="114300" simplePos="0" relativeHeight="251702272" behindDoc="0" locked="0" layoutInCell="1" allowOverlap="1" wp14:anchorId="4419BF51" wp14:editId="03309BC5">
              <wp:simplePos x="0" y="0"/>
              <wp:positionH relativeFrom="column">
                <wp:posOffset>10111</wp:posOffset>
              </wp:positionH>
              <wp:positionV relativeFrom="paragraph">
                <wp:posOffset>113079</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8pt;margin-top:8.9pt;width:223.2pt;height:4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" filled="f" stroked="f" strokeweight=".5pt">
              <v:textbo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53119" behindDoc="1" locked="0" layoutInCell="1" allowOverlap="1" wp14:anchorId="1B67FCFA" wp14:editId="616E5070">
          <wp:simplePos x="0" y="0"/>
          <wp:positionH relativeFrom="column">
            <wp:posOffset>-1084521</wp:posOffset>
          </wp:positionH>
          <wp:positionV relativeFrom="paragraph">
            <wp:posOffset>-893135</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20F68"/>
    <w:rsid w:val="00140A0F"/>
    <w:rsid w:val="001475EF"/>
    <w:rsid w:val="001535F6"/>
    <w:rsid w:val="001676A1"/>
    <w:rsid w:val="00167A94"/>
    <w:rsid w:val="00170ED2"/>
    <w:rsid w:val="001720DA"/>
    <w:rsid w:val="001726B9"/>
    <w:rsid w:val="0018283E"/>
    <w:rsid w:val="001933D1"/>
    <w:rsid w:val="00196CC8"/>
    <w:rsid w:val="001A0E20"/>
    <w:rsid w:val="001B0EA1"/>
    <w:rsid w:val="001B4F5A"/>
    <w:rsid w:val="001C525E"/>
    <w:rsid w:val="001C5D8B"/>
    <w:rsid w:val="001D42E7"/>
    <w:rsid w:val="001E11CA"/>
    <w:rsid w:val="001E3903"/>
    <w:rsid w:val="001E44DE"/>
    <w:rsid w:val="001F446D"/>
    <w:rsid w:val="001F593C"/>
    <w:rsid w:val="001F5FD1"/>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C49AE"/>
    <w:rsid w:val="002D4649"/>
    <w:rsid w:val="002D695E"/>
    <w:rsid w:val="002E70DB"/>
    <w:rsid w:val="002F08B9"/>
    <w:rsid w:val="00301708"/>
    <w:rsid w:val="003067C3"/>
    <w:rsid w:val="00324B65"/>
    <w:rsid w:val="00326DD7"/>
    <w:rsid w:val="0032768C"/>
    <w:rsid w:val="00340673"/>
    <w:rsid w:val="00341973"/>
    <w:rsid w:val="00350246"/>
    <w:rsid w:val="003523AA"/>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3FA"/>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560"/>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02878"/>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7643"/>
    <w:rsid w:val="005A0015"/>
    <w:rsid w:val="005A1434"/>
    <w:rsid w:val="005A1C67"/>
    <w:rsid w:val="005A5C8F"/>
    <w:rsid w:val="005A74F5"/>
    <w:rsid w:val="005B662C"/>
    <w:rsid w:val="005C486A"/>
    <w:rsid w:val="005C4B4F"/>
    <w:rsid w:val="005C7B39"/>
    <w:rsid w:val="005D6B57"/>
    <w:rsid w:val="005D7855"/>
    <w:rsid w:val="005F4DAD"/>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A7B7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0D50"/>
    <w:rsid w:val="008A1D5C"/>
    <w:rsid w:val="008A5BBC"/>
    <w:rsid w:val="008C1231"/>
    <w:rsid w:val="008C17A2"/>
    <w:rsid w:val="008C24EB"/>
    <w:rsid w:val="008D6026"/>
    <w:rsid w:val="008D7825"/>
    <w:rsid w:val="008E0B72"/>
    <w:rsid w:val="008E5CC5"/>
    <w:rsid w:val="008F46F1"/>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244F"/>
    <w:rsid w:val="009743C8"/>
    <w:rsid w:val="009811B3"/>
    <w:rsid w:val="00984576"/>
    <w:rsid w:val="00992557"/>
    <w:rsid w:val="009A12C2"/>
    <w:rsid w:val="009A5E6F"/>
    <w:rsid w:val="009B747B"/>
    <w:rsid w:val="009C2934"/>
    <w:rsid w:val="009C538D"/>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675C5"/>
    <w:rsid w:val="00A75952"/>
    <w:rsid w:val="00A847B2"/>
    <w:rsid w:val="00A9012B"/>
    <w:rsid w:val="00AA52A4"/>
    <w:rsid w:val="00AB3A26"/>
    <w:rsid w:val="00AD08A1"/>
    <w:rsid w:val="00AE10E9"/>
    <w:rsid w:val="00AE25C2"/>
    <w:rsid w:val="00AE3F97"/>
    <w:rsid w:val="00AF7B36"/>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45FF1"/>
    <w:rsid w:val="00C4662E"/>
    <w:rsid w:val="00C51C55"/>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B2BAB"/>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DF326E"/>
    <w:rsid w:val="00E02F95"/>
    <w:rsid w:val="00E2798D"/>
    <w:rsid w:val="00E31FA8"/>
    <w:rsid w:val="00E36009"/>
    <w:rsid w:val="00E36A20"/>
    <w:rsid w:val="00E373D4"/>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2078F"/>
    <w:rsid w:val="00F23B26"/>
    <w:rsid w:val="00F4169C"/>
    <w:rsid w:val="00F44391"/>
    <w:rsid w:val="00F501A0"/>
    <w:rsid w:val="00F53715"/>
    <w:rsid w:val="00F54FBF"/>
    <w:rsid w:val="00F6212E"/>
    <w:rsid w:val="00F62479"/>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1262B"/>
    <w:pPr>
      <w:keepNext/>
      <w:keepLines/>
      <w:spacing w:after="120"/>
      <w:outlineLvl w:val="0"/>
    </w:pPr>
    <w:rPr>
      <w:rFonts w:ascii="Geomanist" w:eastAsia="Calibri" w:hAnsi="Geomanist" w:cstheme="majorBidi"/>
      <w:b/>
      <w:caps/>
      <w:color w:val="7030A0"/>
      <w:sz w:val="21"/>
      <w:szCs w:val="36"/>
      <w:lang w:val="es-ES_tradnl"/>
    </w:rPr>
  </w:style>
  <w:style w:type="paragraph" w:styleId="Ttulo2">
    <w:name w:val="heading 2"/>
    <w:basedOn w:val="Normal"/>
    <w:next w:val="Normal"/>
    <w:link w:val="Ttulo2Car"/>
    <w:uiPriority w:val="9"/>
    <w:unhideWhenUsed/>
    <w:qFormat/>
    <w:rsid w:val="00A1262B"/>
    <w:pPr>
      <w:keepNext/>
      <w:keepLines/>
      <w:spacing w:before="40" w:after="0"/>
      <w:outlineLvl w:val="1"/>
    </w:pPr>
    <w:rPr>
      <w:rFonts w:ascii="Geomanist" w:eastAsiaTheme="majorEastAsia" w:hAnsi="Geomanist" w:cstheme="majorBidi"/>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262B"/>
    <w:rPr>
      <w:rFonts w:ascii="Geomanist" w:eastAsia="Calibri" w:hAnsi="Geomanist" w:cstheme="majorBidi"/>
      <w:b/>
      <w:caps/>
      <w:color w:val="7030A0"/>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A1262B"/>
    <w:rPr>
      <w:rFonts w:ascii="Geomanist" w:eastAsiaTheme="majorEastAsia" w:hAnsi="Geomanist" w:cstheme="majorBidi"/>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5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C51C55"/>
    <w:pPr>
      <w:spacing w:before="0" w:after="0" w:line="240" w:lineRule="auto"/>
    </w:pPr>
    <w:rPr>
      <w:rFonts w:ascii="Geomanist" w:hAnsi="Geomanist"/>
      <w:sz w:val="20"/>
      <w:szCs w:val="24"/>
    </w:rPr>
  </w:style>
  <w:style w:type="paragraph" w:customStyle="1" w:styleId="Vietas">
    <w:name w:val="Viñetas"/>
    <w:basedOn w:val="Contenido1"/>
    <w:qFormat/>
    <w:rsid w:val="001475EF"/>
    <w:pPr>
      <w:numPr>
        <w:numId w:val="1"/>
      </w:numPr>
      <w:ind w:left="1068"/>
    </w:pPr>
  </w:style>
  <w:style w:type="paragraph" w:customStyle="1" w:styleId="Numeracin">
    <w:name w:val="Numeración"/>
    <w:basedOn w:val="Vietas"/>
    <w:qFormat/>
    <w:rsid w:val="001475EF"/>
    <w:pPr>
      <w:numPr>
        <w:numId w:val="2"/>
      </w:numPr>
    </w:pPr>
  </w:style>
  <w:style w:type="paragraph" w:styleId="Textoindependiente">
    <w:name w:val="Body Text"/>
    <w:basedOn w:val="Normal"/>
    <w:link w:val="TextoindependienteCar"/>
    <w:rsid w:val="009C2934"/>
    <w:pPr>
      <w:spacing w:before="0" w:after="0"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9C2934"/>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3682</Words>
  <Characters>20254</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3</cp:revision>
  <cp:lastPrinted>2024-11-01T18:27:00Z</cp:lastPrinted>
  <dcterms:created xsi:type="dcterms:W3CDTF">2024-10-28T21:16:00Z</dcterms:created>
  <dcterms:modified xsi:type="dcterms:W3CDTF">2024-11-01T18:32:00Z</dcterms:modified>
</cp:coreProperties>
</file>