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7793" w14:textId="18497C67" w:rsidR="00C376DD" w:rsidRPr="00A1262B" w:rsidRDefault="00100DDB" w:rsidP="00A1262B">
      <w:pPr>
        <w:pStyle w:val="Ttulo1"/>
      </w:pPr>
      <w:r w:rsidRPr="00721AE7">
        <w:t>5.5 Informe sobre el cumplimiento en la Implementación de la Ley General de Contabilidad Gubernamental (Armonización Contable)</w:t>
      </w:r>
    </w:p>
    <w:p w14:paraId="6C2621E6" w14:textId="360207FC" w:rsidR="003C4FD1" w:rsidRDefault="003C4FD1" w:rsidP="00A1262B">
      <w:pPr>
        <w:pStyle w:val="Contenido1"/>
      </w:pPr>
      <w:r>
        <w:t xml:space="preserve">De acuerdo con lo señalado en </w:t>
      </w:r>
      <w:r w:rsidRPr="00721AE7">
        <w:t>la Ley General de Contabilidad Gubernamental</w:t>
      </w:r>
      <w:r>
        <w:t xml:space="preserve"> </w:t>
      </w:r>
      <w:r w:rsidRPr="00721AE7">
        <w:t>(LGCG</w:t>
      </w:r>
      <w:r>
        <w:t>)</w:t>
      </w:r>
      <w:r w:rsidRPr="00721AE7">
        <w:t xml:space="preserve">, el INECOL, </w:t>
      </w:r>
      <w:r>
        <w:t>ha d</w:t>
      </w:r>
      <w:r w:rsidRPr="00721AE7">
        <w:t>a</w:t>
      </w:r>
      <w:r>
        <w:t>do</w:t>
      </w:r>
      <w:r w:rsidRPr="00721AE7">
        <w:t xml:space="preserve"> cumplimiento</w:t>
      </w:r>
      <w:r>
        <w:t xml:space="preserve"> </w:t>
      </w:r>
      <w:r w:rsidRPr="006B1908">
        <w:t>al proceso de Armonización Contable</w:t>
      </w:r>
      <w:r>
        <w:t>,</w:t>
      </w:r>
      <w:r w:rsidRPr="001A3FF8">
        <w:t xml:space="preserve"> considera</w:t>
      </w:r>
      <w:r>
        <w:t>ndo</w:t>
      </w:r>
      <w:r w:rsidRPr="001A3FF8">
        <w:t xml:space="preserve"> los instrumentos básicos </w:t>
      </w:r>
      <w:r>
        <w:t xml:space="preserve">como </w:t>
      </w:r>
      <w:r w:rsidRPr="001A3FF8">
        <w:t>el plan de cuentas, la matriz de conversión, la guía contabilizadora y los modelos de asientos contables y presupuestales</w:t>
      </w:r>
      <w:r>
        <w:t>,</w:t>
      </w:r>
      <w:r w:rsidRPr="00721AE7">
        <w:t xml:space="preserve"> realiza periódicamente las adecuaciones a su sistema de contabilidad integral, valida los registro contables y presupuestales que se generan de las operaciones diarias de manera automática y en tiempo real de los ingresos y egresos de acuerdo con las normas y metodologías que determinan los momentos contables de registro, definidos por el Consejo Nacional de Armonización Contable (CONAC), así mismo se realiza la actualización del catálogo de cuentas y se solicita al administrador del sistema contable-presupuestal la validación del correcto funcionamiento de los diversos módulos que generan los reportes financieros</w:t>
      </w:r>
      <w:r>
        <w:t xml:space="preserve"> y presupuestales</w:t>
      </w:r>
      <w:r w:rsidRPr="00721AE7">
        <w:t xml:space="preserve"> para que se apeguen a las modificaciones publicadas en el Manual de Contabilidad Gubernamental, por la Unidad de Contabilidad Gubernamental de la Secretaría de Hacienda y Crédito Público para el Sector Paraestatal</w:t>
      </w:r>
      <w:r>
        <w:t xml:space="preserve">. </w:t>
      </w:r>
    </w:p>
    <w:p w14:paraId="26A56207" w14:textId="77777777" w:rsidR="003C4FD1" w:rsidRDefault="003C4FD1" w:rsidP="00A1262B">
      <w:pPr>
        <w:pStyle w:val="Contenido1"/>
      </w:pPr>
      <w:r w:rsidRPr="00721AE7">
        <w:t>De igual manera se genera información contable y presupuestal con periodicidad mensual y acumulada, siendo los siguientes:</w:t>
      </w:r>
    </w:p>
    <w:p w14:paraId="5FA79A4A" w14:textId="77315CF6" w:rsidR="003C4FD1" w:rsidRDefault="003C4FD1" w:rsidP="003C4FD1">
      <w:pPr>
        <w:pStyle w:val="Ttulo2"/>
      </w:pPr>
      <w:r>
        <w:t>REPORTES CONTABLES</w:t>
      </w:r>
    </w:p>
    <w:p w14:paraId="7C04D828" w14:textId="77777777" w:rsidR="003C4FD1" w:rsidRPr="00721AE7" w:rsidRDefault="003C4FD1" w:rsidP="003C4FD1">
      <w:pPr>
        <w:pStyle w:val="Vietas"/>
        <w:ind w:left="1068"/>
      </w:pPr>
      <w:r w:rsidRPr="00721AE7">
        <w:t>Estado de Situación Financiera</w:t>
      </w:r>
    </w:p>
    <w:p w14:paraId="60E56114" w14:textId="77777777" w:rsidR="003C4FD1" w:rsidRPr="00721AE7" w:rsidRDefault="003C4FD1" w:rsidP="003C4FD1">
      <w:pPr>
        <w:pStyle w:val="Vietas"/>
        <w:ind w:left="1068"/>
      </w:pPr>
      <w:r w:rsidRPr="00721AE7">
        <w:t xml:space="preserve">Estado de Actividades </w:t>
      </w:r>
    </w:p>
    <w:p w14:paraId="5ACA217E" w14:textId="77777777" w:rsidR="003C4FD1" w:rsidRPr="00721AE7" w:rsidRDefault="003C4FD1" w:rsidP="003C4FD1">
      <w:pPr>
        <w:pStyle w:val="Vietas"/>
        <w:ind w:left="1068"/>
      </w:pPr>
      <w:r w:rsidRPr="00721AE7">
        <w:t>Estado de Flujos de Efectivo</w:t>
      </w:r>
    </w:p>
    <w:p w14:paraId="1773C7D3" w14:textId="77777777" w:rsidR="003C4FD1" w:rsidRPr="00721AE7" w:rsidRDefault="003C4FD1" w:rsidP="003C4FD1">
      <w:pPr>
        <w:pStyle w:val="Vietas"/>
        <w:ind w:left="1068"/>
      </w:pPr>
      <w:r w:rsidRPr="00721AE7">
        <w:t>Estado de Variación en la Hacienda Pública</w:t>
      </w:r>
    </w:p>
    <w:p w14:paraId="4FC5B674" w14:textId="77777777" w:rsidR="003C4FD1" w:rsidRPr="00721AE7" w:rsidRDefault="003C4FD1" w:rsidP="003C4FD1">
      <w:pPr>
        <w:pStyle w:val="Vietas"/>
        <w:ind w:left="1068"/>
      </w:pPr>
      <w:r w:rsidRPr="00721AE7">
        <w:t>Estado de Cambios en la Situación Financiera</w:t>
      </w:r>
    </w:p>
    <w:p w14:paraId="6EF560F2" w14:textId="77777777" w:rsidR="003C4FD1" w:rsidRPr="00721AE7" w:rsidRDefault="003C4FD1" w:rsidP="003C4FD1">
      <w:pPr>
        <w:pStyle w:val="Vietas"/>
        <w:ind w:left="1068"/>
      </w:pPr>
      <w:r w:rsidRPr="00721AE7">
        <w:t>Estado Analítico de la Deuda y Otros Pasivos</w:t>
      </w:r>
    </w:p>
    <w:p w14:paraId="569517D4" w14:textId="77777777" w:rsidR="003C4FD1" w:rsidRPr="00721AE7" w:rsidRDefault="003C4FD1" w:rsidP="003C4FD1">
      <w:pPr>
        <w:pStyle w:val="Vietas"/>
        <w:ind w:left="1068"/>
      </w:pPr>
      <w:r w:rsidRPr="00721AE7">
        <w:t>Estado Analítico del Activo</w:t>
      </w:r>
    </w:p>
    <w:p w14:paraId="30BFF9DB" w14:textId="77777777" w:rsidR="003C4FD1" w:rsidRPr="00721AE7" w:rsidRDefault="003C4FD1" w:rsidP="003C4FD1">
      <w:pPr>
        <w:pStyle w:val="Vietas"/>
        <w:ind w:left="1068"/>
      </w:pPr>
      <w:r w:rsidRPr="00721AE7">
        <w:t xml:space="preserve">Libros de Mayor </w:t>
      </w:r>
    </w:p>
    <w:p w14:paraId="4FE1183B" w14:textId="77777777" w:rsidR="003C4FD1" w:rsidRPr="00721AE7" w:rsidRDefault="003C4FD1" w:rsidP="003C4FD1">
      <w:pPr>
        <w:pStyle w:val="Vietas"/>
        <w:ind w:left="1068"/>
      </w:pPr>
      <w:r w:rsidRPr="00721AE7">
        <w:t>Libro de Diario</w:t>
      </w:r>
    </w:p>
    <w:p w14:paraId="096B68D4" w14:textId="77777777" w:rsidR="003C4FD1" w:rsidRPr="00721AE7" w:rsidRDefault="003C4FD1" w:rsidP="003C4FD1">
      <w:pPr>
        <w:pStyle w:val="Vietas"/>
        <w:ind w:left="1068"/>
      </w:pPr>
      <w:r w:rsidRPr="00721AE7">
        <w:t>Libro de Inventarios</w:t>
      </w:r>
    </w:p>
    <w:p w14:paraId="78A134E0" w14:textId="77777777" w:rsidR="003C4FD1" w:rsidRPr="00721AE7" w:rsidRDefault="003C4FD1" w:rsidP="003C4FD1">
      <w:pPr>
        <w:pStyle w:val="Vietas"/>
        <w:ind w:left="1068"/>
      </w:pPr>
      <w:r w:rsidRPr="00721AE7">
        <w:t>Libro de Almacén</w:t>
      </w:r>
    </w:p>
    <w:p w14:paraId="5B76677D" w14:textId="77777777" w:rsidR="003C4FD1" w:rsidRPr="00721AE7" w:rsidRDefault="003C4FD1" w:rsidP="003C4FD1">
      <w:pPr>
        <w:pStyle w:val="Vietas"/>
        <w:ind w:left="1068"/>
      </w:pPr>
      <w:r w:rsidRPr="00721AE7">
        <w:t>Reportes de apoyo para la Cuenta Pública</w:t>
      </w:r>
    </w:p>
    <w:p w14:paraId="122FDE84" w14:textId="53E6B98D" w:rsidR="003C4FD1" w:rsidRDefault="003C4FD1" w:rsidP="003C4FD1">
      <w:pPr>
        <w:pStyle w:val="Ttulo2"/>
      </w:pPr>
      <w:r>
        <w:t>REPORTES PRESUPUESTALES</w:t>
      </w:r>
    </w:p>
    <w:p w14:paraId="3C5E3E81" w14:textId="7F9F0280" w:rsidR="003C4FD1" w:rsidRDefault="003C4FD1" w:rsidP="00A12975">
      <w:pPr>
        <w:pStyle w:val="Vietas"/>
        <w:ind w:left="1068"/>
      </w:pPr>
      <w:r w:rsidRPr="00721AE7">
        <w:t>Estado Analítico de Ingresos</w:t>
      </w:r>
    </w:p>
    <w:p w14:paraId="0690AB44" w14:textId="77777777" w:rsidR="003C4FD1" w:rsidRDefault="003C4FD1" w:rsidP="00A12975">
      <w:pPr>
        <w:pStyle w:val="Vietas"/>
        <w:ind w:left="1068"/>
      </w:pPr>
      <w:r w:rsidRPr="00721AE7">
        <w:t xml:space="preserve">Estado </w:t>
      </w:r>
      <w:r>
        <w:t>A</w:t>
      </w:r>
      <w:r w:rsidRPr="00721AE7">
        <w:t xml:space="preserve">nalítico del </w:t>
      </w:r>
      <w:r>
        <w:t>E</w:t>
      </w:r>
      <w:r w:rsidRPr="00721AE7">
        <w:t xml:space="preserve">jercicio del </w:t>
      </w:r>
      <w:r>
        <w:t>P</w:t>
      </w:r>
      <w:r w:rsidRPr="00721AE7">
        <w:t xml:space="preserve">resupuesto de </w:t>
      </w:r>
      <w:r>
        <w:t>E</w:t>
      </w:r>
      <w:r w:rsidRPr="00721AE7">
        <w:t>gresos</w:t>
      </w:r>
      <w:r>
        <w:t xml:space="preserve"> en Clasificación Administrativa.</w:t>
      </w:r>
    </w:p>
    <w:p w14:paraId="7706FF5B" w14:textId="77777777" w:rsidR="003C4FD1" w:rsidRDefault="003C4FD1" w:rsidP="00A12975">
      <w:pPr>
        <w:pStyle w:val="Vietas"/>
        <w:ind w:left="1068"/>
      </w:pPr>
      <w:r>
        <w:lastRenderedPageBreak/>
        <w:t>Estado Analítico del Ejercicio del Presupuesto de Egresos en Clasificación Económica y por Objeto del Gasto</w:t>
      </w:r>
    </w:p>
    <w:p w14:paraId="627F33FA" w14:textId="77777777" w:rsidR="003C4FD1" w:rsidRDefault="003C4FD1" w:rsidP="00A12975">
      <w:pPr>
        <w:pStyle w:val="Vietas"/>
        <w:ind w:left="1068"/>
      </w:pPr>
      <w:r>
        <w:t xml:space="preserve">Estado Analítico del Ejercicio del Presupuesto de Egresos en Clasificación Funcional–Programática. </w:t>
      </w:r>
    </w:p>
    <w:p w14:paraId="44F9E9A4" w14:textId="77777777" w:rsidR="003C4FD1" w:rsidRDefault="003C4FD1" w:rsidP="00A12975">
      <w:pPr>
        <w:pStyle w:val="Vietas"/>
        <w:ind w:left="1068"/>
      </w:pPr>
      <w:r>
        <w:t>Gasto por Categoría Programática</w:t>
      </w:r>
    </w:p>
    <w:p w14:paraId="42852107" w14:textId="77777777" w:rsidR="003C4FD1" w:rsidRDefault="003C4FD1" w:rsidP="00A12975">
      <w:pPr>
        <w:pStyle w:val="Vietas"/>
        <w:ind w:left="1068"/>
      </w:pPr>
      <w:r>
        <w:t>Analítico de Claves de Entidades Paraestatales</w:t>
      </w:r>
    </w:p>
    <w:p w14:paraId="0850EB54" w14:textId="77777777" w:rsidR="003C4FD1" w:rsidRDefault="003C4FD1" w:rsidP="00A12975">
      <w:pPr>
        <w:pStyle w:val="Vietas"/>
        <w:ind w:left="1068"/>
      </w:pPr>
      <w:r>
        <w:t>Estado Analítico del Ejercicio del Presupuesto de Egresos en Clasificación Administrativa (Armonizado)</w:t>
      </w:r>
    </w:p>
    <w:p w14:paraId="2360AA91" w14:textId="77777777" w:rsidR="003C4FD1" w:rsidRDefault="003C4FD1" w:rsidP="00A12975">
      <w:pPr>
        <w:pStyle w:val="Vietas"/>
        <w:ind w:left="1068"/>
      </w:pPr>
      <w:r>
        <w:t>Estado Analítico del Ejercicio del Presupuesto de Egresos en Clasificación Económica (Armonizado)</w:t>
      </w:r>
    </w:p>
    <w:p w14:paraId="4E7C473B" w14:textId="77777777" w:rsidR="003C4FD1" w:rsidRDefault="003C4FD1" w:rsidP="00A12975">
      <w:pPr>
        <w:pStyle w:val="Vietas"/>
        <w:ind w:left="1068"/>
      </w:pPr>
      <w:r>
        <w:t>Estado Analítico del Ejercicio del Presupuesto de Egresos en Clasificación por Objeto del Gasto (Armonizado)</w:t>
      </w:r>
    </w:p>
    <w:p w14:paraId="10C57203" w14:textId="77777777" w:rsidR="003C4FD1" w:rsidRDefault="003C4FD1" w:rsidP="00A12975">
      <w:pPr>
        <w:pStyle w:val="Vietas"/>
        <w:ind w:left="1068"/>
      </w:pPr>
      <w:r>
        <w:t>Estado Analítico del Ejercicio del Presupuesto de Egresos en Clasificación Funcional (Armonizado)</w:t>
      </w:r>
    </w:p>
    <w:p w14:paraId="01B38CD3" w14:textId="77777777" w:rsidR="003C4FD1" w:rsidRDefault="003C4FD1" w:rsidP="00A12975">
      <w:pPr>
        <w:pStyle w:val="Vietas"/>
        <w:ind w:left="1068"/>
      </w:pPr>
      <w:r>
        <w:t>Gasto por Categoría Programática (Armonizado)</w:t>
      </w:r>
    </w:p>
    <w:p w14:paraId="75F8154C" w14:textId="17CD9EF2" w:rsidR="003C4FD1" w:rsidRPr="00721AE7" w:rsidRDefault="003C4FD1" w:rsidP="003C4FD1">
      <w:pPr>
        <w:pStyle w:val="Contenido1"/>
      </w:pPr>
      <w:r w:rsidRPr="00721AE7">
        <w:t>La información contable y presupuestal que se genera en cumplimiento a la LGCG se organiza, sistematiza y se difunde trimestralmente en el portal del Instituto en términos de las disposiciones en materia de transparencia que les aplique.</w:t>
      </w:r>
    </w:p>
    <w:p w14:paraId="49560DCE" w14:textId="77777777" w:rsidR="003C4FD1" w:rsidRPr="00721AE7" w:rsidRDefault="003C4FD1" w:rsidP="003C4FD1">
      <w:pPr>
        <w:pStyle w:val="Contenido1"/>
      </w:pPr>
      <w:r w:rsidRPr="00721AE7">
        <w:t>Se cuenta con información contable y presupuestal que permite dar seguimiento y evaluar el ejercicio del gasto y la recaudación de ingresos, considerando todas las etapas presupuestales.</w:t>
      </w:r>
    </w:p>
    <w:p w14:paraId="055C61CB" w14:textId="7F3D51B1" w:rsidR="003C4FD1" w:rsidRPr="00721AE7" w:rsidRDefault="003C4FD1" w:rsidP="003C4FD1">
      <w:pPr>
        <w:pStyle w:val="Contenido1"/>
      </w:pPr>
      <w:r w:rsidRPr="00721AE7">
        <w:t xml:space="preserve">Con la actualización del nuevo sistema contable, puesto en marcha en 2022, se ha logrado mejorar el proceso del registro contable presupuestal y generar los reportes con información financiera y presupuestal confiable y oportuna, que sirven de base para la toma de decisiones y </w:t>
      </w:r>
      <w:r w:rsidR="00776A94">
        <w:t>atender solicitudes de</w:t>
      </w:r>
      <w:r w:rsidRPr="00721AE7">
        <w:t xml:space="preserve"> información financiera y presupuestal ante las instancias fiscalizadoras.</w:t>
      </w:r>
    </w:p>
    <w:p w14:paraId="442066F0" w14:textId="77777777" w:rsidR="003C4FD1" w:rsidRPr="00721AE7" w:rsidRDefault="003C4FD1" w:rsidP="003C4FD1">
      <w:pPr>
        <w:pStyle w:val="Contenido1"/>
      </w:pPr>
      <w:r w:rsidRPr="00721AE7">
        <w:t>La revisión sobre el adecuado cumplimiento y aplicación de la normatividad vigente para el registro y generación de la información contable y presupuestal, lo lleva a cabo el despacho de Auditores Externos designado por la Secretaría de la Función Pública.</w:t>
      </w:r>
    </w:p>
    <w:sectPr w:rsidR="003C4FD1" w:rsidRPr="00721AE7" w:rsidSect="00F92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BB1F" w14:textId="77777777" w:rsidR="005129FA" w:rsidRDefault="005129FA" w:rsidP="00734F2E">
      <w:pPr>
        <w:spacing w:before="0" w:after="0" w:line="240" w:lineRule="auto"/>
      </w:pPr>
      <w:r>
        <w:separator/>
      </w:r>
    </w:p>
  </w:endnote>
  <w:endnote w:type="continuationSeparator" w:id="0">
    <w:p w14:paraId="4D8C1B11" w14:textId="77777777" w:rsidR="005129FA" w:rsidRDefault="005129FA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0C8CF" w14:textId="77777777" w:rsidR="00C05514" w:rsidRDefault="00C055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641D12EE" w:rsidR="00A9012B" w:rsidRPr="005C486A" w:rsidRDefault="00A1262B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3" behindDoc="0" locked="0" layoutInCell="1" allowOverlap="1" wp14:anchorId="40D5FE63" wp14:editId="4A6C2B39">
              <wp:simplePos x="0" y="0"/>
              <wp:positionH relativeFrom="column">
                <wp:posOffset>-615315</wp:posOffset>
              </wp:positionH>
              <wp:positionV relativeFrom="paragraph">
                <wp:posOffset>237963</wp:posOffset>
              </wp:positionV>
              <wp:extent cx="5650523" cy="524656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523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450A2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7EA3EBE2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9D3C41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81D6CE5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5BE75A9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8B450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D5FE6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48.45pt;margin-top:18.75pt;width:444.9pt;height:41.3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" filled="f" stroked="f" strokeweight=".5pt">
              <v:textbox>
                <w:txbxContent>
                  <w:p w14:paraId="07450A2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7EA3EBE2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9D3C41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81D6CE5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5BE75A9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8B450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EBAF" w14:textId="77777777" w:rsidR="00C05514" w:rsidRDefault="00C055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196BC" w14:textId="77777777" w:rsidR="005129FA" w:rsidRDefault="005129FA" w:rsidP="00734F2E">
      <w:pPr>
        <w:spacing w:before="0" w:after="0" w:line="240" w:lineRule="auto"/>
      </w:pPr>
      <w:r>
        <w:separator/>
      </w:r>
    </w:p>
  </w:footnote>
  <w:footnote w:type="continuationSeparator" w:id="0">
    <w:p w14:paraId="02D8CB51" w14:textId="77777777" w:rsidR="005129FA" w:rsidRDefault="005129FA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0B92" w14:textId="77777777" w:rsidR="00C05514" w:rsidRDefault="00C055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7816FF4B" w:rsidR="001E44DE" w:rsidRPr="00E87317" w:rsidRDefault="00C05514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684AA918">
              <wp:simplePos x="0" y="0"/>
              <wp:positionH relativeFrom="column">
                <wp:posOffset>9525</wp:posOffset>
              </wp:positionH>
              <wp:positionV relativeFrom="paragraph">
                <wp:posOffset>-1270</wp:posOffset>
              </wp:positionV>
              <wp:extent cx="2834640" cy="524656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4640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76A363" w14:textId="3256116A" w:rsidR="00A1262B" w:rsidRPr="00A1262B" w:rsidRDefault="00A1262B" w:rsidP="00A1262B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5066F7D0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93DC12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27BFCB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.75pt;margin-top:-.1pt;width:223.2pt;height:41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" filled="f" stroked="f" strokeweight=".5pt">
              <v:textbox>
                <w:txbxContent>
                  <w:p w14:paraId="4676A363" w14:textId="3256116A" w:rsidR="00A1262B" w:rsidRPr="00A1262B" w:rsidRDefault="00A1262B" w:rsidP="00A1262B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5066F7D0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93DC12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27BFCB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3119" behindDoc="1" locked="0" layoutInCell="1" allowOverlap="1" wp14:anchorId="1B67FCFA" wp14:editId="2C907383">
          <wp:simplePos x="0" y="0"/>
          <wp:positionH relativeFrom="column">
            <wp:posOffset>-1083945</wp:posOffset>
          </wp:positionH>
          <wp:positionV relativeFrom="paragraph">
            <wp:posOffset>-1143422</wp:posOffset>
          </wp:positionV>
          <wp:extent cx="7790569" cy="10081550"/>
          <wp:effectExtent l="0" t="0" r="0" b="2540"/>
          <wp:wrapNone/>
          <wp:docPr id="19537037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569" cy="100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F6DC" w14:textId="77777777" w:rsidR="00C05514" w:rsidRDefault="00C055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BD1"/>
    <w:rsid w:val="0006573D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0DDB"/>
    <w:rsid w:val="0010534E"/>
    <w:rsid w:val="001108FA"/>
    <w:rsid w:val="00110FA8"/>
    <w:rsid w:val="00113B5D"/>
    <w:rsid w:val="001145D4"/>
    <w:rsid w:val="00115EED"/>
    <w:rsid w:val="001475EF"/>
    <w:rsid w:val="001535F6"/>
    <w:rsid w:val="0016520E"/>
    <w:rsid w:val="001676A1"/>
    <w:rsid w:val="00167A94"/>
    <w:rsid w:val="00170ED2"/>
    <w:rsid w:val="001720DA"/>
    <w:rsid w:val="001726B9"/>
    <w:rsid w:val="0018283E"/>
    <w:rsid w:val="001933D1"/>
    <w:rsid w:val="00196766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8765E"/>
    <w:rsid w:val="002C49AE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4FD1"/>
    <w:rsid w:val="003C7611"/>
    <w:rsid w:val="003D2890"/>
    <w:rsid w:val="003E0173"/>
    <w:rsid w:val="003E18E6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2D40"/>
    <w:rsid w:val="004D7AE2"/>
    <w:rsid w:val="004E2293"/>
    <w:rsid w:val="004E7F3C"/>
    <w:rsid w:val="004F040C"/>
    <w:rsid w:val="004F5FDB"/>
    <w:rsid w:val="005129FA"/>
    <w:rsid w:val="00514848"/>
    <w:rsid w:val="005168C2"/>
    <w:rsid w:val="00524ADB"/>
    <w:rsid w:val="005332CA"/>
    <w:rsid w:val="0053694C"/>
    <w:rsid w:val="00542027"/>
    <w:rsid w:val="005430BD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8A2"/>
    <w:rsid w:val="006E796F"/>
    <w:rsid w:val="006E7CA7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76A94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65ACE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1822"/>
    <w:rsid w:val="009A5E6F"/>
    <w:rsid w:val="009B747B"/>
    <w:rsid w:val="009C763E"/>
    <w:rsid w:val="009D27D6"/>
    <w:rsid w:val="009E1461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2975"/>
    <w:rsid w:val="00A13643"/>
    <w:rsid w:val="00A137F8"/>
    <w:rsid w:val="00A13E5D"/>
    <w:rsid w:val="00A16F34"/>
    <w:rsid w:val="00A205DE"/>
    <w:rsid w:val="00A2072B"/>
    <w:rsid w:val="00A250DD"/>
    <w:rsid w:val="00A675C5"/>
    <w:rsid w:val="00A75952"/>
    <w:rsid w:val="00A847B2"/>
    <w:rsid w:val="00A9012B"/>
    <w:rsid w:val="00AA52A4"/>
    <w:rsid w:val="00AB3A26"/>
    <w:rsid w:val="00AD08A1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4759"/>
    <w:rsid w:val="00BC5948"/>
    <w:rsid w:val="00BE462B"/>
    <w:rsid w:val="00BF10B7"/>
    <w:rsid w:val="00BF5C52"/>
    <w:rsid w:val="00BF7A5A"/>
    <w:rsid w:val="00C03EDB"/>
    <w:rsid w:val="00C05514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C34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382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1262B"/>
    <w:pPr>
      <w:keepNext/>
      <w:keepLines/>
      <w:spacing w:after="120"/>
      <w:outlineLvl w:val="0"/>
    </w:pPr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262B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262B"/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A1262B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6E78A2"/>
    <w:pPr>
      <w:spacing w:after="120" w:line="360" w:lineRule="auto"/>
    </w:pPr>
    <w:rPr>
      <w:rFonts w:ascii="Geomanist" w:hAnsi="Geomanist"/>
      <w:sz w:val="20"/>
      <w:szCs w:val="24"/>
    </w:rPr>
  </w:style>
  <w:style w:type="paragraph" w:customStyle="1" w:styleId="Vietas">
    <w:name w:val="Viñetas"/>
    <w:basedOn w:val="Contenido1"/>
    <w:qFormat/>
    <w:rsid w:val="006E78A2"/>
    <w:pPr>
      <w:numPr>
        <w:numId w:val="1"/>
      </w:numPr>
      <w:spacing w:before="0" w:after="0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8</cp:revision>
  <dcterms:created xsi:type="dcterms:W3CDTF">2024-10-28T19:53:00Z</dcterms:created>
  <dcterms:modified xsi:type="dcterms:W3CDTF">2024-10-30T22:55:00Z</dcterms:modified>
</cp:coreProperties>
</file>