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7793" w14:textId="14D86C9C" w:rsidR="00C376DD" w:rsidRPr="00A1262B" w:rsidRDefault="009557E5" w:rsidP="00A1262B">
      <w:pPr>
        <w:pStyle w:val="Ttulo1"/>
      </w:pPr>
      <w:r w:rsidRPr="00DC0125">
        <w:t>5.9 AVANCES EN LA ATENCIÓN A OBSERVACIONES DE INSTANCIAS FISCALIZADORAS.</w:t>
      </w:r>
    </w:p>
    <w:p w14:paraId="44C193C5" w14:textId="06E7B9F9" w:rsidR="00744661" w:rsidRPr="00A1262B" w:rsidRDefault="009557E5" w:rsidP="00A1262B">
      <w:pPr>
        <w:pStyle w:val="Ttulo2"/>
      </w:pPr>
      <w:r w:rsidRPr="00DC0125">
        <w:t>Órgano Interno de Control</w:t>
      </w:r>
    </w:p>
    <w:p w14:paraId="4AE97331" w14:textId="6EB267BB" w:rsidR="00667A41" w:rsidRPr="00EA25F2" w:rsidRDefault="009557E5" w:rsidP="00A1262B">
      <w:pPr>
        <w:pStyle w:val="Contenido1"/>
      </w:pPr>
      <w:bookmarkStart w:id="0" w:name="_Hlk181193083"/>
      <w:r w:rsidRPr="00EA25F2">
        <w:t>Durante el periodo de enero a junio del 202</w:t>
      </w:r>
      <w:r w:rsidR="00667A41" w:rsidRPr="00EA25F2">
        <w:t>4</w:t>
      </w:r>
      <w:r w:rsidRPr="00EA25F2">
        <w:t xml:space="preserve"> realizó un total de </w:t>
      </w:r>
      <w:r w:rsidR="00EA28A9">
        <w:t>cuatro</w:t>
      </w:r>
      <w:r w:rsidRPr="00EA25F2">
        <w:t xml:space="preserve"> auditorías a los siguientes rubros: Ingresos Captados por el INECOL, </w:t>
      </w:r>
      <w:r w:rsidR="002D6EDD" w:rsidRPr="00EA25F2">
        <w:t>Adquisición de Bienes</w:t>
      </w:r>
      <w:r w:rsidRPr="00EA25F2">
        <w:t>,</w:t>
      </w:r>
      <w:r w:rsidR="002D6EDD" w:rsidRPr="00EA25F2">
        <w:t xml:space="preserve"> Libros y Revistas en Consignación y en el Almacén de Publicaciones, </w:t>
      </w:r>
      <w:r w:rsidR="00EA28A9">
        <w:t>Laboratorios del Instituto de Ecología, A.C.</w:t>
      </w:r>
      <w:r w:rsidR="00FE12B2">
        <w:t>,</w:t>
      </w:r>
      <w:r w:rsidR="00EA28A9">
        <w:t xml:space="preserve"> </w:t>
      </w:r>
      <w:r w:rsidR="003E569F" w:rsidRPr="00EA25F2">
        <w:t xml:space="preserve">una intervención de Control Interno </w:t>
      </w:r>
      <w:r w:rsidR="00FE12B2">
        <w:t xml:space="preserve">al </w:t>
      </w:r>
      <w:r w:rsidR="003E569F" w:rsidRPr="00EA25F2">
        <w:t>Programa Institucional de Becas y Apoyos Económicos 2024 a los Estudiantes del Posgrado</w:t>
      </w:r>
      <w:r w:rsidR="00FE12B2">
        <w:t>;</w:t>
      </w:r>
      <w:r w:rsidR="003E569F" w:rsidRPr="00EA25F2">
        <w:t xml:space="preserve"> </w:t>
      </w:r>
      <w:r w:rsidRPr="00EA25F2">
        <w:t>así como</w:t>
      </w:r>
      <w:r w:rsidR="00FE12B2">
        <w:t>,</w:t>
      </w:r>
      <w:r w:rsidRPr="00EA25F2">
        <w:t xml:space="preserve"> dos </w:t>
      </w:r>
      <w:r w:rsidR="00667A41" w:rsidRPr="00EA25F2">
        <w:t xml:space="preserve">de </w:t>
      </w:r>
      <w:r w:rsidR="00FE12B2">
        <w:t>S</w:t>
      </w:r>
      <w:r w:rsidR="00667A41" w:rsidRPr="00EA25F2">
        <w:t>eguimiento</w:t>
      </w:r>
      <w:r w:rsidR="00FE12B2">
        <w:t>s de Observaciones  trimestrales</w:t>
      </w:r>
      <w:r w:rsidRPr="00EA25F2">
        <w:t>,</w:t>
      </w:r>
      <w:r w:rsidR="00FE12B2">
        <w:t xml:space="preserve"> </w:t>
      </w:r>
      <w:r w:rsidR="00FE12B2" w:rsidRPr="00FE12B2">
        <w:t>(en el 1er. trimestre se dio seguimiento a la atención de 2 Observaciones determinadas en la Auditoría No. 9/2023 Proyectos Externos por Investigador 2022 y en el 2° solo se informó que durante dicho periodo se determinaron 3 Observaciones).</w:t>
      </w:r>
      <w:r w:rsidRPr="00EA25F2">
        <w:t xml:space="preserve"> </w:t>
      </w:r>
    </w:p>
    <w:p w14:paraId="337A58CE" w14:textId="2919AB98" w:rsidR="00744661" w:rsidRDefault="00667A41" w:rsidP="00A1262B">
      <w:pPr>
        <w:pStyle w:val="Contenido1"/>
      </w:pPr>
      <w:r w:rsidRPr="00EA25F2">
        <w:t>D</w:t>
      </w:r>
      <w:r w:rsidR="009557E5" w:rsidRPr="00EA25F2">
        <w:t>el total de l</w:t>
      </w:r>
      <w:r w:rsidR="00FE12B2">
        <w:t>o</w:t>
      </w:r>
      <w:r w:rsidR="009557E5" w:rsidRPr="00EA25F2">
        <w:t>s a</w:t>
      </w:r>
      <w:r w:rsidR="00FE12B2">
        <w:t xml:space="preserve">ctos de fiscalización realizados durante el periodo de enero a junio del 2024, se </w:t>
      </w:r>
      <w:r w:rsidR="009557E5" w:rsidRPr="00EA25F2">
        <w:t>determin</w:t>
      </w:r>
      <w:r w:rsidR="00EA28A9">
        <w:t>aron</w:t>
      </w:r>
      <w:r w:rsidR="009557E5" w:rsidRPr="00EA25F2">
        <w:t xml:space="preserve"> </w:t>
      </w:r>
      <w:r w:rsidR="00EA28A9">
        <w:t>tres</w:t>
      </w:r>
      <w:r w:rsidR="009557E5" w:rsidRPr="00EA25F2">
        <w:t xml:space="preserve"> </w:t>
      </w:r>
      <w:r w:rsidR="00EA25F2" w:rsidRPr="00EA25F2">
        <w:t>observaci</w:t>
      </w:r>
      <w:r w:rsidR="00EA28A9">
        <w:t>o</w:t>
      </w:r>
      <w:r w:rsidR="00EA25F2" w:rsidRPr="00EA25F2">
        <w:t>n</w:t>
      </w:r>
      <w:r w:rsidR="00EA28A9">
        <w:t>es</w:t>
      </w:r>
      <w:r w:rsidR="009557E5" w:rsidRPr="00EA25F2">
        <w:t xml:space="preserve">, </w:t>
      </w:r>
      <w:r w:rsidR="00FE12B2">
        <w:t>la</w:t>
      </w:r>
      <w:r w:rsidR="00EA28A9">
        <w:t>s</w:t>
      </w:r>
      <w:r w:rsidR="009557E5" w:rsidRPr="00EA25F2">
        <w:t xml:space="preserve"> cual</w:t>
      </w:r>
      <w:r w:rsidR="00EA28A9">
        <w:t>es</w:t>
      </w:r>
      <w:r w:rsidR="00FE12B2">
        <w:t xml:space="preserve">, están pendientes de atender </w:t>
      </w:r>
      <w:r w:rsidR="009557E5" w:rsidRPr="00EA25F2">
        <w:t>al 30 de junio del 202</w:t>
      </w:r>
      <w:r w:rsidR="00EA25F2" w:rsidRPr="00EA25F2">
        <w:t>4</w:t>
      </w:r>
      <w:r w:rsidR="009557E5" w:rsidRPr="00EA25F2">
        <w:t>.</w:t>
      </w:r>
    </w:p>
    <w:bookmarkEnd w:id="0"/>
    <w:p w14:paraId="626234E8" w14:textId="2CE131A1" w:rsidR="009557E5" w:rsidRPr="009557E5" w:rsidRDefault="009557E5" w:rsidP="009557E5">
      <w:pPr>
        <w:pStyle w:val="Ttulo2"/>
        <w:rPr>
          <w:bCs/>
        </w:rPr>
      </w:pPr>
      <w:r w:rsidRPr="009557E5">
        <w:rPr>
          <w:bCs/>
        </w:rPr>
        <w:t>Auditoría por el Despacho de Auditores Externos a los Estados y la Información Financiera Contable y Presupuestaria</w:t>
      </w:r>
    </w:p>
    <w:p w14:paraId="00FD53E7" w14:textId="77777777" w:rsidR="009557E5" w:rsidRDefault="009557E5" w:rsidP="00A1262B">
      <w:pPr>
        <w:pStyle w:val="Contenido1"/>
      </w:pPr>
      <w:r w:rsidRPr="009557E5">
        <w:t>No se cuenta con recomendaciones plasmadas en la Carta de Observaciones de Auditoría Externa.</w:t>
      </w:r>
      <w:r>
        <w:t xml:space="preserve"> </w:t>
      </w:r>
    </w:p>
    <w:p w14:paraId="689C4982" w14:textId="77777777" w:rsidR="009557E5" w:rsidRPr="009557E5" w:rsidRDefault="009557E5" w:rsidP="009557E5">
      <w:pPr>
        <w:pStyle w:val="Ttulo2"/>
        <w:rPr>
          <w:bCs/>
        </w:rPr>
      </w:pPr>
      <w:r w:rsidRPr="009557E5">
        <w:rPr>
          <w:bCs/>
        </w:rPr>
        <w:t xml:space="preserve">Auditorías Externas a Proyectos de Investigación </w:t>
      </w:r>
    </w:p>
    <w:p w14:paraId="0C10CE77" w14:textId="45C841B4" w:rsidR="00DC0125" w:rsidRPr="00DC0125" w:rsidRDefault="00DC0125" w:rsidP="00DC0125">
      <w:pPr>
        <w:pStyle w:val="Contenido1"/>
      </w:pPr>
      <w:r w:rsidRPr="00DC0125">
        <w:t xml:space="preserve">En el periodo de enero a </w:t>
      </w:r>
      <w:r w:rsidR="00BC0DF0">
        <w:t>junio</w:t>
      </w:r>
      <w:r w:rsidRPr="00DC0125">
        <w:t xml:space="preserve"> del 202</w:t>
      </w:r>
      <w:r w:rsidR="00BC0DF0">
        <w:t>4</w:t>
      </w:r>
      <w:r w:rsidRPr="00DC0125">
        <w:t xml:space="preserve"> se llevaron a cabo auditorías a tres informes financieros de Proyectos de Investigación financiados por el CONAHCYT</w:t>
      </w:r>
      <w:r w:rsidR="00E673F3">
        <w:t xml:space="preserve"> y COVEYCIDET</w:t>
      </w:r>
      <w:r w:rsidRPr="00DC0125">
        <w:t xml:space="preserve"> concluyendo satisfactoriamente, de las cuales no hay observaciones que reportar</w:t>
      </w:r>
      <w:r w:rsidR="00E673F3">
        <w:t>, siendo los siguientes:</w:t>
      </w:r>
    </w:p>
    <w:p w14:paraId="24F0EA74" w14:textId="53CDF031" w:rsidR="001475EF" w:rsidRDefault="00E673F3" w:rsidP="00E673F3">
      <w:pPr>
        <w:pStyle w:val="Numeracin"/>
        <w:numPr>
          <w:ilvl w:val="0"/>
          <w:numId w:val="2"/>
        </w:numPr>
      </w:pPr>
      <w:r>
        <w:t>Clave 848290 “</w:t>
      </w:r>
      <w:r w:rsidRPr="00E673F3">
        <w:t>Dilucidar el potencial efecto del cambio climático en el creciente problema de expansión altitudinal y de hospederos en plagas agrícolas</w:t>
      </w:r>
      <w:r>
        <w:t>”</w:t>
      </w:r>
      <w:r w:rsidR="008C3C00">
        <w:t>;</w:t>
      </w:r>
      <w:r>
        <w:t xml:space="preserve"> financiado por el CONAHCYT.</w:t>
      </w:r>
    </w:p>
    <w:p w14:paraId="218D9CA0" w14:textId="5B995499" w:rsidR="00E673F3" w:rsidRDefault="00E673F3" w:rsidP="00E673F3">
      <w:pPr>
        <w:pStyle w:val="Numeracin"/>
        <w:numPr>
          <w:ilvl w:val="0"/>
          <w:numId w:val="2"/>
        </w:numPr>
      </w:pPr>
      <w:r>
        <w:t>Clave CP 0911 2054/2023 “</w:t>
      </w:r>
      <w:r w:rsidRPr="00E673F3">
        <w:t>Validación del sistema de elaboración de paquetes de sustrato para la producción de hongos comestibles: evaluación de la productividad a nivel rural en el área del Cofre de Perote, Veracruz</w:t>
      </w:r>
      <w:r>
        <w:t>”</w:t>
      </w:r>
      <w:r w:rsidR="008C3C00">
        <w:t>;</w:t>
      </w:r>
      <w:r>
        <w:t xml:space="preserve"> financiado por el COVEYCIDET.</w:t>
      </w:r>
    </w:p>
    <w:p w14:paraId="114B7BF1" w14:textId="1171DB62" w:rsidR="00F92269" w:rsidRDefault="00E673F3" w:rsidP="00463C09">
      <w:pPr>
        <w:pStyle w:val="Numeracin"/>
        <w:numPr>
          <w:ilvl w:val="0"/>
          <w:numId w:val="2"/>
        </w:numPr>
      </w:pPr>
      <w:r>
        <w:t>Clave CP 2710 1557 “</w:t>
      </w:r>
      <w:r w:rsidRPr="00E673F3">
        <w:t xml:space="preserve">Caracterización microscópica de cutículas de mango bajo inducción de </w:t>
      </w:r>
      <w:proofErr w:type="spellStart"/>
      <w:r w:rsidRPr="00E673F3">
        <w:t>hormesis</w:t>
      </w:r>
      <w:proofErr w:type="spellEnd"/>
      <w:r w:rsidRPr="00E673F3">
        <w:t xml:space="preserve"> para extender la vida postcosecha y calidad del fruto</w:t>
      </w:r>
      <w:r>
        <w:t>”</w:t>
      </w:r>
      <w:r w:rsidR="008C3C00">
        <w:t>;</w:t>
      </w:r>
      <w:r w:rsidR="00EE1D4F">
        <w:t xml:space="preserve"> financiado por el COVEYCIDET.</w:t>
      </w:r>
    </w:p>
    <w:sectPr w:rsidR="00F92269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17D5" w14:textId="77777777" w:rsidR="00CC62D7" w:rsidRDefault="00CC62D7" w:rsidP="00734F2E">
      <w:pPr>
        <w:spacing w:before="0" w:after="0" w:line="240" w:lineRule="auto"/>
      </w:pPr>
      <w:r>
        <w:separator/>
      </w:r>
    </w:p>
  </w:endnote>
  <w:endnote w:type="continuationSeparator" w:id="0">
    <w:p w14:paraId="1B0B1DB5" w14:textId="77777777" w:rsidR="00CC62D7" w:rsidRDefault="00CC62D7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38FD7B33" w:rsidR="00A9012B" w:rsidRPr="005C486A" w:rsidRDefault="00A1262B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51A9415B">
              <wp:simplePos x="0" y="0"/>
              <wp:positionH relativeFrom="column">
                <wp:posOffset>4131945</wp:posOffset>
              </wp:positionH>
              <wp:positionV relativeFrom="paragraph">
                <wp:posOffset>579169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B7594A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7" type="#_x0000_t202" style="position:absolute;left:0;text-align:left;margin-left:325.3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3" behindDoc="0" locked="0" layoutInCell="1" allowOverlap="1" wp14:anchorId="40D5FE63" wp14:editId="0EAEE822">
              <wp:simplePos x="0" y="0"/>
              <wp:positionH relativeFrom="column">
                <wp:posOffset>-615315</wp:posOffset>
              </wp:positionH>
              <wp:positionV relativeFrom="paragraph">
                <wp:posOffset>237963</wp:posOffset>
              </wp:positionV>
              <wp:extent cx="5650523" cy="524656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523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450A2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7EA3EBE2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9D3C41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81D6CE5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5BE75A9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8B450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D5FE63" id="_x0000_s1028" type="#_x0000_t202" style="position:absolute;left:0;text-align:left;margin-left:-48.45pt;margin-top:18.75pt;width:444.9pt;height:41.3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" filled="f" stroked="f" strokeweight=".5pt">
              <v:textbox>
                <w:txbxContent>
                  <w:p w14:paraId="07450A2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7EA3EBE2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9D3C41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81D6CE5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5BE75A9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8B450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43A06" w14:textId="77777777" w:rsidR="00CC62D7" w:rsidRDefault="00CC62D7" w:rsidP="00734F2E">
      <w:pPr>
        <w:spacing w:before="0" w:after="0" w:line="240" w:lineRule="auto"/>
      </w:pPr>
      <w:r>
        <w:separator/>
      </w:r>
    </w:p>
  </w:footnote>
  <w:footnote w:type="continuationSeparator" w:id="0">
    <w:p w14:paraId="27461DC3" w14:textId="77777777" w:rsidR="00CC62D7" w:rsidRDefault="00CC62D7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7AEE3E87" w:rsidR="001E44DE" w:rsidRPr="00E87317" w:rsidRDefault="00A1262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3309BC5">
              <wp:simplePos x="0" y="0"/>
              <wp:positionH relativeFrom="column">
                <wp:posOffset>10111</wp:posOffset>
              </wp:positionH>
              <wp:positionV relativeFrom="paragraph">
                <wp:posOffset>113079</wp:posOffset>
              </wp:positionV>
              <wp:extent cx="2834640" cy="524656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4640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76A363" w14:textId="3256116A" w:rsidR="00A1262B" w:rsidRPr="00A1262B" w:rsidRDefault="00A1262B" w:rsidP="00A1262B">
                          <w:pPr>
                            <w:jc w:val="right"/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  <w:t>Segunda Sesión Ordinaria de Órgano de Gobierno 2024</w:t>
                          </w:r>
                        </w:p>
                        <w:p w14:paraId="5066F7D0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93DC12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27BFCB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.8pt;margin-top:8.9pt;width:223.2pt;height:41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" filled="f" stroked="f" strokeweight=".5pt">
              <v:textbox>
                <w:txbxContent>
                  <w:p w14:paraId="4676A363" w14:textId="3256116A" w:rsidR="00A1262B" w:rsidRPr="00A1262B" w:rsidRDefault="00A1262B" w:rsidP="00A1262B">
                    <w:pPr>
                      <w:jc w:val="right"/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  <w:t>Segunda Sesión Ordinaria de Órgano de Gobierno 2024</w:t>
                    </w:r>
                  </w:p>
                  <w:p w14:paraId="5066F7D0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93DC12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27BFCB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3119" behindDoc="1" locked="0" layoutInCell="1" allowOverlap="1" wp14:anchorId="1B67FCFA" wp14:editId="616E5070">
          <wp:simplePos x="0" y="0"/>
          <wp:positionH relativeFrom="column">
            <wp:posOffset>-1084521</wp:posOffset>
          </wp:positionH>
          <wp:positionV relativeFrom="paragraph">
            <wp:posOffset>-893135</wp:posOffset>
          </wp:positionV>
          <wp:extent cx="7790569" cy="10081550"/>
          <wp:effectExtent l="0" t="0" r="0" b="2540"/>
          <wp:wrapNone/>
          <wp:docPr id="19537037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0569" cy="1008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145D3"/>
    <w:rsid w:val="000244BF"/>
    <w:rsid w:val="000277D8"/>
    <w:rsid w:val="00030D02"/>
    <w:rsid w:val="00034561"/>
    <w:rsid w:val="00035A91"/>
    <w:rsid w:val="00044184"/>
    <w:rsid w:val="00053BD1"/>
    <w:rsid w:val="0006573D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0FA8"/>
    <w:rsid w:val="00113B5D"/>
    <w:rsid w:val="001145D4"/>
    <w:rsid w:val="00115EED"/>
    <w:rsid w:val="001475EF"/>
    <w:rsid w:val="001535F6"/>
    <w:rsid w:val="001676A1"/>
    <w:rsid w:val="00167A94"/>
    <w:rsid w:val="00170ED2"/>
    <w:rsid w:val="001720DA"/>
    <w:rsid w:val="001726B9"/>
    <w:rsid w:val="0018283E"/>
    <w:rsid w:val="001933D1"/>
    <w:rsid w:val="00196CC8"/>
    <w:rsid w:val="001A0E20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6141A"/>
    <w:rsid w:val="002628AA"/>
    <w:rsid w:val="00263EF9"/>
    <w:rsid w:val="002643AB"/>
    <w:rsid w:val="0026486F"/>
    <w:rsid w:val="002C49AE"/>
    <w:rsid w:val="002D4649"/>
    <w:rsid w:val="002D695E"/>
    <w:rsid w:val="002D6EDD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3E569F"/>
    <w:rsid w:val="004026DA"/>
    <w:rsid w:val="0040290E"/>
    <w:rsid w:val="00406274"/>
    <w:rsid w:val="0040628D"/>
    <w:rsid w:val="00410CA3"/>
    <w:rsid w:val="00423795"/>
    <w:rsid w:val="004241C9"/>
    <w:rsid w:val="00427B68"/>
    <w:rsid w:val="004331E4"/>
    <w:rsid w:val="004334CB"/>
    <w:rsid w:val="0044545E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27BF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94C"/>
    <w:rsid w:val="00542027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7643"/>
    <w:rsid w:val="005A1434"/>
    <w:rsid w:val="005A1C67"/>
    <w:rsid w:val="005A40AA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67A41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4BC"/>
    <w:rsid w:val="00744661"/>
    <w:rsid w:val="00745702"/>
    <w:rsid w:val="00750A59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2EAA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C3C00"/>
    <w:rsid w:val="008D5277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557E5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31F3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675C5"/>
    <w:rsid w:val="00A75952"/>
    <w:rsid w:val="00A847B2"/>
    <w:rsid w:val="00A9012B"/>
    <w:rsid w:val="00AA52A4"/>
    <w:rsid w:val="00AB3A26"/>
    <w:rsid w:val="00AC5BCE"/>
    <w:rsid w:val="00AD08A1"/>
    <w:rsid w:val="00AE10E9"/>
    <w:rsid w:val="00AE25C2"/>
    <w:rsid w:val="00AE3F97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C0044"/>
    <w:rsid w:val="00BC0DF0"/>
    <w:rsid w:val="00BC2788"/>
    <w:rsid w:val="00BC4759"/>
    <w:rsid w:val="00BC5948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781"/>
    <w:rsid w:val="00C67E8F"/>
    <w:rsid w:val="00C715DF"/>
    <w:rsid w:val="00C7213B"/>
    <w:rsid w:val="00C80999"/>
    <w:rsid w:val="00C903BB"/>
    <w:rsid w:val="00CA527D"/>
    <w:rsid w:val="00CC321F"/>
    <w:rsid w:val="00CC536F"/>
    <w:rsid w:val="00CC62D7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5062"/>
    <w:rsid w:val="00D25120"/>
    <w:rsid w:val="00D2622F"/>
    <w:rsid w:val="00D30477"/>
    <w:rsid w:val="00D32741"/>
    <w:rsid w:val="00D35BEA"/>
    <w:rsid w:val="00D46409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125"/>
    <w:rsid w:val="00DC0510"/>
    <w:rsid w:val="00DC1325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673F3"/>
    <w:rsid w:val="00E7021F"/>
    <w:rsid w:val="00E72296"/>
    <w:rsid w:val="00E7365C"/>
    <w:rsid w:val="00E779CD"/>
    <w:rsid w:val="00E81F92"/>
    <w:rsid w:val="00E87317"/>
    <w:rsid w:val="00E9094B"/>
    <w:rsid w:val="00EA25F2"/>
    <w:rsid w:val="00EA28A9"/>
    <w:rsid w:val="00EA358E"/>
    <w:rsid w:val="00EB17AD"/>
    <w:rsid w:val="00EC4AB2"/>
    <w:rsid w:val="00EC5D5E"/>
    <w:rsid w:val="00ED4AFD"/>
    <w:rsid w:val="00ED61C7"/>
    <w:rsid w:val="00ED7449"/>
    <w:rsid w:val="00EE1D4F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106"/>
    <w:rsid w:val="00F4169C"/>
    <w:rsid w:val="00F44391"/>
    <w:rsid w:val="00F501A0"/>
    <w:rsid w:val="00F53715"/>
    <w:rsid w:val="00F54FBF"/>
    <w:rsid w:val="00F6212E"/>
    <w:rsid w:val="00F648AB"/>
    <w:rsid w:val="00F7219A"/>
    <w:rsid w:val="00F80358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12B2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1262B"/>
    <w:pPr>
      <w:keepNext/>
      <w:keepLines/>
      <w:spacing w:after="120"/>
      <w:outlineLvl w:val="0"/>
    </w:pPr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1262B"/>
    <w:pPr>
      <w:keepNext/>
      <w:keepLines/>
      <w:spacing w:before="40" w:after="0"/>
      <w:outlineLvl w:val="1"/>
    </w:pPr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262B"/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A1262B"/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F648AB"/>
    <w:pPr>
      <w:spacing w:after="120" w:line="360" w:lineRule="auto"/>
    </w:pPr>
    <w:rPr>
      <w:rFonts w:ascii="Geomanist" w:hAnsi="Geomanist"/>
      <w:sz w:val="20"/>
      <w:szCs w:val="24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16</cp:revision>
  <dcterms:created xsi:type="dcterms:W3CDTF">2024-10-30T18:04:00Z</dcterms:created>
  <dcterms:modified xsi:type="dcterms:W3CDTF">2024-10-31T23:12:00Z</dcterms:modified>
</cp:coreProperties>
</file>