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C8565" w14:textId="05ECBD6D" w:rsidR="00C2383A" w:rsidRPr="00C2383A" w:rsidRDefault="00C2383A" w:rsidP="00C2383A">
      <w:pPr>
        <w:pStyle w:val="Ttulo1"/>
        <w:spacing w:before="0" w:after="0" w:line="240" w:lineRule="auto"/>
      </w:pPr>
      <w:r w:rsidRPr="00C2383A">
        <w:t>2. ORDEN DEL DÍA</w:t>
      </w:r>
    </w:p>
    <w:p w14:paraId="22D89F39" w14:textId="77777777" w:rsidR="00C2383A" w:rsidRDefault="00C2383A" w:rsidP="00C2383A">
      <w:pPr>
        <w:spacing w:before="0" w:after="0" w:line="240" w:lineRule="auto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</w:p>
    <w:p w14:paraId="5B61713F" w14:textId="13AAF7CA" w:rsidR="00C2383A" w:rsidRPr="00C2383A" w:rsidRDefault="00C2383A" w:rsidP="00C2383A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Lista de asistencia y declaración del quórum legal.</w:t>
      </w:r>
    </w:p>
    <w:p w14:paraId="444271E0" w14:textId="163D47EB" w:rsidR="00C2383A" w:rsidRPr="00C2383A" w:rsidRDefault="00C2383A" w:rsidP="00C2383A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Lectura y, en su caso, aprobación del orden del día.</w:t>
      </w:r>
    </w:p>
    <w:p w14:paraId="44177F1C" w14:textId="23E370C7" w:rsidR="00C2383A" w:rsidRPr="00C2383A" w:rsidRDefault="00C2383A" w:rsidP="00C2383A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Lectura y, en su caso, aprobación del acta de la sesión anterior.</w:t>
      </w:r>
    </w:p>
    <w:p w14:paraId="121827D9" w14:textId="74F28C4D" w:rsidR="00C2383A" w:rsidRPr="00C2383A" w:rsidRDefault="00C2383A" w:rsidP="00A62F88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Informe sobre el cumplimiento de los acuerdos previos adoptados por el órgano de gobierno, así como de las recomendaciones y solicitudes planteadas por las personas Consejeras y Suplente del Comisario Público Específicas “B”, ahora Dirección General de Prevención de la Corrupción y Mejora Continua 3, de la Secretaría Anticorrupción y Buen Gobierno (</w:t>
      </w:r>
      <w:proofErr w:type="spellStart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SAyBG</w:t>
      </w:r>
      <w:proofErr w:type="spellEnd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), del Comité Externo de Evaluación (CEE) y, en su caso, las recomendaciones de las personas Presidentes Suplentes.</w:t>
      </w:r>
    </w:p>
    <w:p w14:paraId="597BCAF5" w14:textId="6461D252" w:rsidR="00C2383A" w:rsidRPr="00C2383A" w:rsidRDefault="00C2383A" w:rsidP="00167D6D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del Informe de Autoevaluación derivado del Programa Institucional correspondiente al ejercicio fiscal 2024 por la persona Titular del Centro.</w:t>
      </w:r>
    </w:p>
    <w:p w14:paraId="7A9ABC9E" w14:textId="739ED41A" w:rsidR="00C2383A" w:rsidRPr="00C2383A" w:rsidRDefault="00C2383A" w:rsidP="00E6792D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por la persona Titular del CPI del análisis autocrítico del estado que guarda éste en términos de los logros obtenidos en la administración 2019-2024, así como el balance de las capacidades, desafíos y áreas de oportunidad para articularse al Sistema Nacional de Centros Públicos (SNCP).</w:t>
      </w:r>
    </w:p>
    <w:p w14:paraId="2ED9F5C1" w14:textId="33618F46" w:rsidR="00C2383A" w:rsidRPr="00C2383A" w:rsidRDefault="00C2383A" w:rsidP="00F4078D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de la Opinión del Comité Externo de Evaluación sobre el Informe correspondiente al ejercicio fiscal 2024 del CPI (Representante del CEE).</w:t>
      </w:r>
    </w:p>
    <w:p w14:paraId="27B2F1F0" w14:textId="508BA6B5" w:rsidR="00C2383A" w:rsidRPr="00C2383A" w:rsidRDefault="00C2383A" w:rsidP="001F2B19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Presentación de la evaluación al CPI en el ejercicio fiscal 2024 por parte de la </w:t>
      </w:r>
      <w:proofErr w:type="spellStart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Secihti</w:t>
      </w:r>
      <w:proofErr w:type="spellEnd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.</w:t>
      </w:r>
    </w:p>
    <w:p w14:paraId="225501A1" w14:textId="43C2FF02" w:rsidR="00C2383A" w:rsidRPr="00C2383A" w:rsidRDefault="00C2383A" w:rsidP="00C22794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de la Opinión de la Dirección General de Prevención de la Corrupción y Mejora Continua 3, de la Secretaría Anticorrupción y Buen Gobierno (</w:t>
      </w:r>
      <w:proofErr w:type="spellStart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SAyBG</w:t>
      </w:r>
      <w:proofErr w:type="spellEnd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), sobre el informe de Autoevaluación del ejercicio fiscal 2024, que presenta la persona Titular del CPI.</w:t>
      </w:r>
    </w:p>
    <w:p w14:paraId="661FB13A" w14:textId="3DD3B74A" w:rsidR="00C2383A" w:rsidRPr="00C2383A" w:rsidRDefault="00C2383A" w:rsidP="009C1350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Análisis y, en su caso, aprobación del informe de Autoevaluación del ejercicio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fiscal 2024, presentado por la persona Titular del CPI.</w:t>
      </w:r>
    </w:p>
    <w:p w14:paraId="4961080E" w14:textId="3830611C" w:rsidR="00C2383A" w:rsidRPr="00C2383A" w:rsidRDefault="00C2383A" w:rsidP="008D5B75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de los Estados Financieros Dictaminados del ejercicio fiscal 2024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por la persona Titular del CPI.</w:t>
      </w:r>
    </w:p>
    <w:p w14:paraId="3EE49876" w14:textId="2455CB26" w:rsidR="00C2383A" w:rsidRPr="00C2383A" w:rsidRDefault="00C2383A" w:rsidP="00171948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del Informe de la Dirección General de Prevención de la Corrupción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y Mejora Continua 3, de la Secretaría Anticorrupción y Buen Gobierno (</w:t>
      </w:r>
      <w:proofErr w:type="spellStart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SAyBG</w:t>
      </w:r>
      <w:proofErr w:type="spellEnd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),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sobre los Estados Financieros Dictaminados del ejercicio fiscal 2024 del CPI.</w:t>
      </w:r>
    </w:p>
    <w:p w14:paraId="0CA1003B" w14:textId="26C40690" w:rsidR="00C2383A" w:rsidRPr="00C2383A" w:rsidRDefault="00C2383A" w:rsidP="00070FCB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Aprobación, y en su caso, de los Estados Financieros Dictaminados del ejercicio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fiscal 2024 del CPI.</w:t>
      </w:r>
    </w:p>
    <w:p w14:paraId="07F58DD5" w14:textId="4481C27E" w:rsidR="00C2383A" w:rsidRPr="00C2383A" w:rsidRDefault="00C2383A" w:rsidP="00A12747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y, en su caso, aprobación del calendario de sesiones ordinarias del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Órgano de Gobierno del ejercicio 2025 (tomando como fecha de celebración de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la segunda sesión ordinaria el 27 de octubre del 2025, en lugar y hora por</w:t>
      </w:r>
      <w:r w:rsidR="008D25DC" w:rsidRPr="008D25DC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definir).</w:t>
      </w:r>
    </w:p>
    <w:p w14:paraId="1A145D3D" w14:textId="32EB0664" w:rsidR="00C2383A" w:rsidRPr="00C2383A" w:rsidRDefault="00C2383A" w:rsidP="0024434D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Solicitud y, en su caso, aprobación de acuerdos del Órgano de Gobierno del CPI.</w:t>
      </w:r>
    </w:p>
    <w:p w14:paraId="76CB0807" w14:textId="4A1AE248" w:rsidR="00C2383A" w:rsidRPr="00C2383A" w:rsidRDefault="00C2383A" w:rsidP="00FB2F08">
      <w:pPr>
        <w:pStyle w:val="Prrafodelista"/>
        <w:widowControl/>
        <w:numPr>
          <w:ilvl w:val="1"/>
          <w:numId w:val="6"/>
        </w:numPr>
        <w:autoSpaceDE/>
        <w:autoSpaceDN/>
        <w:spacing w:before="0"/>
        <w:ind w:left="1418" w:hanging="567"/>
        <w:contextualSpacing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y, en su caso, aprobación de la relación de proyectos,</w:t>
      </w:r>
      <w:r w:rsidR="00FB2F08" w:rsidRPr="00FB2F08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productos y/o servicios que generaron ingresos propios durante el ejercicio</w:t>
      </w:r>
      <w:r w:rsidR="00FB2F08" w:rsidRPr="00FB2F08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fiscal 2024.</w:t>
      </w:r>
    </w:p>
    <w:p w14:paraId="3110322A" w14:textId="5AE283A8" w:rsidR="00C2383A" w:rsidRPr="00C2383A" w:rsidRDefault="00C2383A" w:rsidP="00A67E8F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Informe de resultados de auditorías, exámenes y evaluaciones realizadas por el</w:t>
      </w:r>
      <w:r w:rsidR="00092F81" w:rsidRPr="00092F81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Órgano Interno de Control en la </w:t>
      </w:r>
      <w:proofErr w:type="spellStart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Secihti</w:t>
      </w:r>
      <w:proofErr w:type="spellEnd"/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.</w:t>
      </w:r>
    </w:p>
    <w:p w14:paraId="0CF413FF" w14:textId="1693B384" w:rsidR="00C2383A" w:rsidRPr="00C2383A" w:rsidRDefault="00C2383A" w:rsidP="00DD2499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Presentación del Informe de la Cuenta de la Hacienda Pública Federal 2024 por la</w:t>
      </w:r>
      <w:r w:rsidR="00092F81" w:rsidRPr="00092F81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 xml:space="preserve"> </w:t>
      </w:r>
      <w:r w:rsidRPr="00C2383A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persona Titular del CPI.</w:t>
      </w:r>
    </w:p>
    <w:p w14:paraId="39C27E14" w14:textId="272BCC88" w:rsidR="00C2383A" w:rsidRPr="00092F81" w:rsidRDefault="00C2383A" w:rsidP="004E5383">
      <w:pPr>
        <w:pStyle w:val="Prrafodelista"/>
        <w:widowControl/>
        <w:numPr>
          <w:ilvl w:val="0"/>
          <w:numId w:val="5"/>
        </w:numPr>
        <w:autoSpaceDE/>
        <w:autoSpaceDN/>
        <w:spacing w:before="0"/>
        <w:ind w:left="426"/>
        <w:jc w:val="both"/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</w:pPr>
      <w:r w:rsidRPr="00092F81">
        <w:rPr>
          <w:rFonts w:ascii="Noto Sans" w:eastAsia="Calibri" w:hAnsi="Noto Sans" w:cs="Noto Sans"/>
          <w:kern w:val="2"/>
          <w:sz w:val="20"/>
          <w:szCs w:val="20"/>
          <w:lang w:val="es-ES_tradnl"/>
          <w14:ligatures w14:val="standardContextual"/>
        </w:rPr>
        <w:t>Asuntos Generales.</w:t>
      </w:r>
    </w:p>
    <w:sectPr w:rsidR="00C2383A" w:rsidRPr="00092F81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7D63E" w14:textId="77777777" w:rsidR="00C327A5" w:rsidRDefault="00C327A5" w:rsidP="00734F2E">
      <w:pPr>
        <w:spacing w:before="0" w:after="0" w:line="240" w:lineRule="auto"/>
      </w:pPr>
      <w:r>
        <w:separator/>
      </w:r>
    </w:p>
  </w:endnote>
  <w:endnote w:type="continuationSeparator" w:id="0">
    <w:p w14:paraId="511F17A2" w14:textId="77777777" w:rsidR="00C327A5" w:rsidRDefault="00C327A5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368FDBBD" w:rsidR="00A9012B" w:rsidRPr="005C486A" w:rsidRDefault="00BC5D3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17FDEB65">
              <wp:simplePos x="0" y="0"/>
              <wp:positionH relativeFrom="column">
                <wp:posOffset>1014746</wp:posOffset>
              </wp:positionH>
              <wp:positionV relativeFrom="paragraph">
                <wp:posOffset>522984</wp:posOffset>
              </wp:positionV>
              <wp:extent cx="4626321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6321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5FA115D9" w:rsidR="00FB3673" w:rsidRPr="00BC5D3B" w:rsidRDefault="00BC5D3B">
                          <w:pPr>
                            <w:rPr>
                              <w:rFonts w:ascii="Noto Sans" w:hAnsi="Noto Sans" w:cs="Noto Sans"/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BC5D3B">
                            <w:rPr>
                              <w:rFonts w:ascii="Noto Sans" w:hAnsi="Noto Sans" w:cs="Noto Sans"/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2. </w:t>
                          </w:r>
                          <w:r w:rsidRPr="00C2383A">
                            <w:rPr>
                              <w:rFonts w:ascii="Noto Sans" w:hAnsi="Noto Sans" w:cs="Noto Sans"/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Lectura y, en su caso, aprobación del orden del día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A4943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79.9pt;margin-top:41.2pt;width:364.3pt;height:2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" filled="f" stroked="f" strokeweight=".5pt">
              <v:textbox>
                <w:txbxContent>
                  <w:p w14:paraId="26D4F014" w14:textId="5FA115D9" w:rsidR="00FB3673" w:rsidRPr="00BC5D3B" w:rsidRDefault="00BC5D3B">
                    <w:pPr>
                      <w:rPr>
                        <w:rFonts w:ascii="Noto Sans" w:hAnsi="Noto Sans" w:cs="Noto Sans"/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BC5D3B">
                      <w:rPr>
                        <w:rFonts w:ascii="Noto Sans" w:hAnsi="Noto Sans" w:cs="Noto Sans"/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2. </w:t>
                    </w:r>
                    <w:r w:rsidRPr="00C2383A">
                      <w:rPr>
                        <w:rFonts w:ascii="Noto Sans" w:hAnsi="Noto Sans" w:cs="Noto Sans"/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Lectura y, en su caso, aprobación del orden del día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B9C454C" wp14:editId="3DF19E06">
              <wp:simplePos x="0" y="0"/>
              <wp:positionH relativeFrom="column">
                <wp:posOffset>994554</wp:posOffset>
              </wp:positionH>
              <wp:positionV relativeFrom="paragraph">
                <wp:posOffset>-3116</wp:posOffset>
              </wp:positionV>
              <wp:extent cx="5029200" cy="668511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66851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B8491" w14:textId="77777777" w:rsidR="00D4680B" w:rsidRPr="00D00C3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Carretera antigua a Coatepec No. 351, El Haya, C.P. 91073, Xalapa, Ver., México. Tel: (228) 842 1800 ext .1001 y 1002</w:t>
                          </w:r>
                        </w:p>
                        <w:p w14:paraId="12496C6B" w14:textId="1ABB9650" w:rsidR="00D4680B" w:rsidRPr="00682CE4" w:rsidRDefault="00D4680B" w:rsidP="00D4680B">
                          <w:pPr>
                            <w:ind w:right="1197"/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  <w:hyperlink r:id="rId1" w:history="1">
                            <w:r w:rsidRPr="007F3A82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25D11220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0B11384" w14:textId="77777777" w:rsidR="00D4680B" w:rsidRPr="00D22E8D" w:rsidRDefault="00D4680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9C454C" id="_x0000_s1028" type="#_x0000_t202" style="position:absolute;left:0;text-align:left;margin-left:78.3pt;margin-top:-.25pt;width:396pt;height:52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" filled="f" stroked="f" strokeweight=".5pt">
              <v:textbox>
                <w:txbxContent>
                  <w:p w14:paraId="1CEB8491" w14:textId="77777777" w:rsidR="00D4680B" w:rsidRPr="00D00C3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Carretera antigua a Coatepec No. 351, El Haya, C.P. 91073, Xalapa, Ver., México. Tel: (228) 842 1800 ext .1001 y 1002</w:t>
                    </w:r>
                  </w:p>
                  <w:p w14:paraId="12496C6B" w14:textId="1ABB9650" w:rsidR="00D4680B" w:rsidRPr="00682CE4" w:rsidRDefault="00D4680B" w:rsidP="00D4680B">
                    <w:pPr>
                      <w:ind w:right="1197"/>
                      <w:jc w:val="left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  <w:hyperlink r:id="rId2" w:history="1">
                      <w:r w:rsidRPr="007F3A82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25D11220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0B11384" w14:textId="77777777" w:rsidR="00D4680B" w:rsidRPr="00D22E8D" w:rsidRDefault="00D4680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D4680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16B0BCE0">
              <wp:simplePos x="0" y="0"/>
              <wp:positionH relativeFrom="column">
                <wp:posOffset>5615469</wp:posOffset>
              </wp:positionH>
              <wp:positionV relativeFrom="paragraph">
                <wp:posOffset>579120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B7594A" id="Cuadro de texto 16" o:spid="_x0000_s1029" type="#_x0000_t202" style="position:absolute;left:0;text-align:left;margin-left:442.1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/agNg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AEADF" w14:textId="77777777" w:rsidR="00C327A5" w:rsidRDefault="00C327A5" w:rsidP="00734F2E">
      <w:pPr>
        <w:spacing w:before="0" w:after="0" w:line="240" w:lineRule="auto"/>
      </w:pPr>
      <w:r>
        <w:separator/>
      </w:r>
    </w:p>
  </w:footnote>
  <w:footnote w:type="continuationSeparator" w:id="0">
    <w:p w14:paraId="22CB0CF4" w14:textId="77777777" w:rsidR="00C327A5" w:rsidRDefault="00C327A5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5E063866" w:rsidR="001E44DE" w:rsidRPr="00E87317" w:rsidRDefault="00D4680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E5D5446">
              <wp:simplePos x="0" y="0"/>
              <wp:positionH relativeFrom="column">
                <wp:posOffset>-310352</wp:posOffset>
              </wp:positionH>
              <wp:positionV relativeFrom="paragraph">
                <wp:posOffset>85090</wp:posOffset>
              </wp:positionV>
              <wp:extent cx="3367889" cy="3440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3440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3DC127" w14:textId="02D8904B" w:rsidR="00A1262B" w:rsidRPr="00D4680B" w:rsidRDefault="00D4680B" w:rsidP="00D4680B">
                          <w:pPr>
                            <w:jc w:val="left"/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="00A1262B"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Órgano de Gobierno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7127BFCB" w14:textId="77777777" w:rsidR="00A1262B" w:rsidRPr="00E07BB6" w:rsidRDefault="00A1262B" w:rsidP="00D4680B">
                          <w:pPr>
                            <w:ind w:right="88"/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D4680B">
                          <w:pPr>
                            <w:jc w:val="left"/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24.45pt;margin-top:6.7pt;width:265.2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" filled="f" stroked="f" strokeweight=".5pt">
              <v:textbox>
                <w:txbxContent>
                  <w:p w14:paraId="193DC127" w14:textId="02D8904B" w:rsidR="00A1262B" w:rsidRPr="00D4680B" w:rsidRDefault="00D4680B" w:rsidP="00D4680B">
                    <w:pPr>
                      <w:jc w:val="left"/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="00A1262B"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Órgano de Gobierno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7127BFCB" w14:textId="77777777" w:rsidR="00A1262B" w:rsidRPr="00E07BB6" w:rsidRDefault="00A1262B" w:rsidP="00D4680B">
                    <w:pPr>
                      <w:ind w:right="88"/>
                      <w:jc w:val="lef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D4680B">
                    <w:pPr>
                      <w:jc w:val="left"/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D4680B">
                    <w:pPr>
                      <w:jc w:val="left"/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07392" behindDoc="1" locked="0" layoutInCell="1" allowOverlap="1" wp14:anchorId="7BED3C73" wp14:editId="5C4227FB">
          <wp:simplePos x="0" y="0"/>
          <wp:positionH relativeFrom="column">
            <wp:posOffset>-1257935</wp:posOffset>
          </wp:positionH>
          <wp:positionV relativeFrom="paragraph">
            <wp:posOffset>8040370</wp:posOffset>
          </wp:positionV>
          <wp:extent cx="7776210" cy="1149350"/>
          <wp:effectExtent l="0" t="0" r="0" b="0"/>
          <wp:wrapNone/>
          <wp:docPr id="131800852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131800852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6368" behindDoc="1" locked="0" layoutInCell="1" allowOverlap="1" wp14:anchorId="62C7D6D9" wp14:editId="65ED50D0">
          <wp:simplePos x="0" y="0"/>
          <wp:positionH relativeFrom="column">
            <wp:posOffset>5059045</wp:posOffset>
          </wp:positionH>
          <wp:positionV relativeFrom="paragraph">
            <wp:posOffset>-842010</wp:posOffset>
          </wp:positionV>
          <wp:extent cx="1459230" cy="1221740"/>
          <wp:effectExtent l="0" t="0" r="1270" b="0"/>
          <wp:wrapNone/>
          <wp:docPr id="128704703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1" locked="0" layoutInCell="1" allowOverlap="1" wp14:anchorId="7D22CE11" wp14:editId="31A2C6CE">
          <wp:simplePos x="0" y="0"/>
          <wp:positionH relativeFrom="column">
            <wp:posOffset>-1081405</wp:posOffset>
          </wp:positionH>
          <wp:positionV relativeFrom="paragraph">
            <wp:posOffset>-721995</wp:posOffset>
          </wp:positionV>
          <wp:extent cx="5430520" cy="1101090"/>
          <wp:effectExtent l="0" t="0" r="5080" b="3810"/>
          <wp:wrapNone/>
          <wp:docPr id="213116493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F33A4"/>
    <w:multiLevelType w:val="hybridMultilevel"/>
    <w:tmpl w:val="0DFCE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218E0"/>
    <w:multiLevelType w:val="hybridMultilevel"/>
    <w:tmpl w:val="F77268DC"/>
    <w:lvl w:ilvl="0" w:tplc="54FA6C3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CD01C0"/>
    <w:multiLevelType w:val="multilevel"/>
    <w:tmpl w:val="6BB0B2E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4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8638A"/>
    <w:rsid w:val="00092F81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22EA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C6F6B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67D71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620F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2043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85EE8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25DC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0DEE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17D0A"/>
    <w:rsid w:val="00A205DE"/>
    <w:rsid w:val="00A2072B"/>
    <w:rsid w:val="00A250DD"/>
    <w:rsid w:val="00A31A3F"/>
    <w:rsid w:val="00A675C5"/>
    <w:rsid w:val="00A75952"/>
    <w:rsid w:val="00A847B2"/>
    <w:rsid w:val="00A9012B"/>
    <w:rsid w:val="00AA52A4"/>
    <w:rsid w:val="00AB3A26"/>
    <w:rsid w:val="00AB421B"/>
    <w:rsid w:val="00AD08A1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C5D3B"/>
    <w:rsid w:val="00BE462B"/>
    <w:rsid w:val="00BF10B7"/>
    <w:rsid w:val="00BF4098"/>
    <w:rsid w:val="00BF5C52"/>
    <w:rsid w:val="00BF7A5A"/>
    <w:rsid w:val="00C03EDB"/>
    <w:rsid w:val="00C119A4"/>
    <w:rsid w:val="00C1461A"/>
    <w:rsid w:val="00C16175"/>
    <w:rsid w:val="00C2383A"/>
    <w:rsid w:val="00C24A6C"/>
    <w:rsid w:val="00C27A82"/>
    <w:rsid w:val="00C30A80"/>
    <w:rsid w:val="00C30A86"/>
    <w:rsid w:val="00C327A5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4680B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440CB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A7DC2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76311"/>
    <w:rsid w:val="00F84E80"/>
    <w:rsid w:val="00F86433"/>
    <w:rsid w:val="00F8697E"/>
    <w:rsid w:val="00F91599"/>
    <w:rsid w:val="00F92269"/>
    <w:rsid w:val="00F969E0"/>
    <w:rsid w:val="00FA2D32"/>
    <w:rsid w:val="00FB2F08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B421B"/>
    <w:pPr>
      <w:keepNext/>
      <w:keepLines/>
      <w:spacing w:after="120"/>
      <w:jc w:val="center"/>
      <w:outlineLvl w:val="0"/>
    </w:pPr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9620F"/>
    <w:pPr>
      <w:keepNext/>
      <w:keepLines/>
      <w:spacing w:before="40" w:after="0"/>
      <w:outlineLvl w:val="1"/>
    </w:pPr>
    <w:rPr>
      <w:rFonts w:ascii="Noto Sans" w:eastAsiaTheme="majorEastAsia" w:hAnsi="Noto Sans" w:cs="Noto Sans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421B"/>
    <w:rPr>
      <w:rFonts w:ascii="Noto Sans" w:eastAsia="Calibri" w:hAnsi="Noto Sans" w:cs="Noto Sans"/>
      <w:b/>
      <w:caps/>
      <w:color w:val="9D2449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59620F"/>
    <w:rPr>
      <w:rFonts w:ascii="Noto Sans" w:eastAsiaTheme="majorEastAsia" w:hAnsi="Noto Sans" w:cs="Noto Sans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59620F"/>
    <w:pPr>
      <w:spacing w:before="240" w:after="240" w:line="360" w:lineRule="auto"/>
    </w:pPr>
    <w:rPr>
      <w:rFonts w:ascii="Noto Sans" w:hAnsi="Noto Sans" w:cs="Noto Sans"/>
      <w:sz w:val="20"/>
      <w:szCs w:val="24"/>
    </w:rPr>
  </w:style>
  <w:style w:type="paragraph" w:customStyle="1" w:styleId="Vietas">
    <w:name w:val="Viñetas"/>
    <w:basedOn w:val="Contenido1"/>
    <w:qFormat/>
    <w:rsid w:val="0059620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character" w:styleId="Hipervnculo">
    <w:name w:val="Hyperlink"/>
    <w:basedOn w:val="Fuentedeprrafopredeter"/>
    <w:uiPriority w:val="99"/>
    <w:unhideWhenUsed/>
    <w:rsid w:val="00D4680B"/>
    <w:rPr>
      <w:color w:val="0563C1" w:themeColor="hyperlink"/>
      <w:u w:val="single"/>
    </w:rPr>
  </w:style>
  <w:style w:type="paragraph" w:styleId="Prrafodelista">
    <w:name w:val="List Paragraph"/>
    <w:aliases w:val="4 Párrafo de lista,Figuras,Dot pt,No Spacing1,List Paragraph Char Char Char,Indicator Text,List Paragraph1,Numbered Para 1,DH1"/>
    <w:basedOn w:val="Normal"/>
    <w:link w:val="PrrafodelistaCar"/>
    <w:uiPriority w:val="34"/>
    <w:qFormat/>
    <w:rsid w:val="00C2383A"/>
    <w:pPr>
      <w:widowControl w:val="0"/>
      <w:autoSpaceDE w:val="0"/>
      <w:autoSpaceDN w:val="0"/>
      <w:spacing w:before="159" w:after="0" w:line="240" w:lineRule="auto"/>
      <w:ind w:left="833" w:hanging="361"/>
      <w:jc w:val="left"/>
    </w:pPr>
    <w:rPr>
      <w:rFonts w:eastAsia="Montserrat" w:cs="Montserrat"/>
      <w:sz w:val="22"/>
      <w:lang w:val="es-ES"/>
    </w:rPr>
  </w:style>
  <w:style w:type="character" w:customStyle="1" w:styleId="PrrafodelistaCar">
    <w:name w:val="Párrafo de lista Car"/>
    <w:aliases w:val="4 Párrafo de lista Car,Figuras Car,Dot pt Car,No Spacing1 Car,List Paragraph Char Char Char Car,Indicator Text Car,List Paragraph1 Car,Numbered Para 1 Car,DH1 Car"/>
    <w:link w:val="Prrafodelista"/>
    <w:uiPriority w:val="34"/>
    <w:rsid w:val="00C2383A"/>
    <w:rPr>
      <w:rFonts w:ascii="Montserrat" w:eastAsia="Montserrat" w:hAnsi="Montserrat" w:cs="Montserra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12</cp:revision>
  <cp:lastPrinted>2025-06-10T18:20:00Z</cp:lastPrinted>
  <dcterms:created xsi:type="dcterms:W3CDTF">2025-03-14T18:38:00Z</dcterms:created>
  <dcterms:modified xsi:type="dcterms:W3CDTF">2025-06-10T18:26:00Z</dcterms:modified>
</cp:coreProperties>
</file>