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B35F6" w14:textId="27A19E51" w:rsidR="00F97EAF" w:rsidRPr="00FE319A" w:rsidRDefault="001B0D5D" w:rsidP="00C62D8E">
      <w:pPr>
        <w:pStyle w:val="Ttulo1"/>
        <w:rPr>
          <w:rFonts w:cs="Times New Roman"/>
        </w:rPr>
      </w:pPr>
      <w:r>
        <w:t>5.12</w:t>
      </w:r>
      <w:r w:rsidR="00F97EAF" w:rsidRPr="00FE319A">
        <w:t>a</w:t>
      </w:r>
      <w:r w:rsidR="00FE319A">
        <w:tab/>
      </w:r>
      <w:r w:rsidR="00F97EAF" w:rsidRPr="00FE319A">
        <w:t xml:space="preserve">NOTA EXPLICATIVA SOBRE LAS VARIACIONES DEL FORMATO DEL 30% Art.42 </w:t>
      </w:r>
      <w:r w:rsidR="00FE319A">
        <w:t>L</w:t>
      </w:r>
      <w:r w:rsidR="00F97EAF" w:rsidRPr="00FE319A">
        <w:t>AASSP DEL EJERCICIO 2024</w:t>
      </w:r>
      <w:r w:rsidR="00F97EAF" w:rsidRPr="00FE319A">
        <w:rPr>
          <w:rFonts w:cs="Times New Roman"/>
        </w:rPr>
        <w:t xml:space="preserve">. </w:t>
      </w:r>
    </w:p>
    <w:tbl>
      <w:tblPr>
        <w:tblStyle w:val="Tablaconcuadrcula"/>
        <w:tblW w:w="10396" w:type="dxa"/>
        <w:jc w:val="center"/>
        <w:tblLayout w:type="fixed"/>
        <w:tblLook w:val="04A0" w:firstRow="1" w:lastRow="0" w:firstColumn="1" w:lastColumn="0" w:noHBand="0" w:noVBand="1"/>
      </w:tblPr>
      <w:tblGrid>
        <w:gridCol w:w="846"/>
        <w:gridCol w:w="1833"/>
        <w:gridCol w:w="1427"/>
        <w:gridCol w:w="1418"/>
        <w:gridCol w:w="1134"/>
        <w:gridCol w:w="3738"/>
      </w:tblGrid>
      <w:tr w:rsidR="00F97EAF" w:rsidRPr="00AE2A8D" w14:paraId="052869D5" w14:textId="77777777" w:rsidTr="00C62D8E">
        <w:trPr>
          <w:trHeight w:val="297"/>
          <w:tblHeader/>
          <w:jc w:val="center"/>
        </w:trPr>
        <w:tc>
          <w:tcPr>
            <w:tcW w:w="846" w:type="dxa"/>
            <w:shd w:val="clear" w:color="auto" w:fill="9D2449"/>
            <w:noWrap/>
            <w:vAlign w:val="center"/>
            <w:hideMark/>
          </w:tcPr>
          <w:p w14:paraId="7EA1FC5C" w14:textId="77777777" w:rsidR="00F97EAF" w:rsidRPr="00C62D8E" w:rsidRDefault="00F97EAF" w:rsidP="00FE319A">
            <w:pPr>
              <w:spacing w:line="276" w:lineRule="auto"/>
              <w:rPr>
                <w:rFonts w:ascii="Noto Sans" w:hAnsi="Noto Sans" w:cs="Noto Sans"/>
                <w:b/>
                <w:bCs/>
                <w:color w:val="FFFFFF" w:themeColor="background1"/>
                <w:szCs w:val="18"/>
              </w:rPr>
            </w:pPr>
            <w:r w:rsidRPr="00C62D8E">
              <w:rPr>
                <w:rFonts w:ascii="Noto Sans" w:hAnsi="Noto Sans" w:cs="Noto Sans"/>
                <w:b/>
                <w:bCs/>
                <w:color w:val="FFFFFF" w:themeColor="background1"/>
                <w:szCs w:val="18"/>
              </w:rPr>
              <w:t>Clave</w:t>
            </w:r>
          </w:p>
        </w:tc>
        <w:tc>
          <w:tcPr>
            <w:tcW w:w="1833" w:type="dxa"/>
            <w:shd w:val="clear" w:color="auto" w:fill="9D2449"/>
            <w:noWrap/>
            <w:vAlign w:val="center"/>
            <w:hideMark/>
          </w:tcPr>
          <w:p w14:paraId="275B63C0" w14:textId="77777777" w:rsidR="00F97EAF" w:rsidRPr="00C62D8E" w:rsidRDefault="00F97EAF" w:rsidP="00FE319A">
            <w:pPr>
              <w:spacing w:line="276" w:lineRule="auto"/>
              <w:jc w:val="center"/>
              <w:rPr>
                <w:rFonts w:ascii="Noto Sans" w:hAnsi="Noto Sans" w:cs="Noto Sans"/>
                <w:b/>
                <w:bCs/>
                <w:color w:val="FFFFFF" w:themeColor="background1"/>
                <w:szCs w:val="18"/>
              </w:rPr>
            </w:pPr>
            <w:r w:rsidRPr="00C62D8E">
              <w:rPr>
                <w:rFonts w:ascii="Noto Sans" w:hAnsi="Noto Sans" w:cs="Noto Sans"/>
                <w:b/>
                <w:bCs/>
                <w:color w:val="FFFFFF" w:themeColor="background1"/>
                <w:szCs w:val="18"/>
              </w:rPr>
              <w:t>Descripción</w:t>
            </w:r>
          </w:p>
        </w:tc>
        <w:tc>
          <w:tcPr>
            <w:tcW w:w="1427" w:type="dxa"/>
            <w:shd w:val="clear" w:color="auto" w:fill="9D2449"/>
            <w:noWrap/>
            <w:vAlign w:val="center"/>
            <w:hideMark/>
          </w:tcPr>
          <w:p w14:paraId="780E8474" w14:textId="77777777" w:rsidR="00F97EAF" w:rsidRPr="00C62D8E" w:rsidRDefault="00F97EAF" w:rsidP="00FE319A">
            <w:pPr>
              <w:spacing w:line="276" w:lineRule="auto"/>
              <w:jc w:val="center"/>
              <w:rPr>
                <w:rFonts w:ascii="Noto Sans" w:hAnsi="Noto Sans" w:cs="Noto Sans"/>
                <w:b/>
                <w:bCs/>
                <w:color w:val="FFFFFF" w:themeColor="background1"/>
                <w:szCs w:val="18"/>
              </w:rPr>
            </w:pPr>
            <w:r w:rsidRPr="00C62D8E">
              <w:rPr>
                <w:rFonts w:ascii="Noto Sans" w:hAnsi="Noto Sans" w:cs="Noto Sans"/>
                <w:b/>
                <w:bCs/>
                <w:color w:val="FFFFFF" w:themeColor="background1"/>
                <w:szCs w:val="18"/>
              </w:rPr>
              <w:t>Presupuesto</w:t>
            </w:r>
          </w:p>
        </w:tc>
        <w:tc>
          <w:tcPr>
            <w:tcW w:w="1418" w:type="dxa"/>
            <w:shd w:val="clear" w:color="auto" w:fill="9D2449"/>
            <w:noWrap/>
            <w:vAlign w:val="center"/>
            <w:hideMark/>
          </w:tcPr>
          <w:p w14:paraId="5FFC4FD3" w14:textId="77777777" w:rsidR="00F97EAF" w:rsidRPr="00C62D8E" w:rsidRDefault="00F97EAF" w:rsidP="00FE319A">
            <w:pPr>
              <w:spacing w:line="276" w:lineRule="auto"/>
              <w:jc w:val="center"/>
              <w:rPr>
                <w:rFonts w:ascii="Noto Sans" w:hAnsi="Noto Sans" w:cs="Noto Sans"/>
                <w:b/>
                <w:bCs/>
                <w:color w:val="FFFFFF" w:themeColor="background1"/>
                <w:szCs w:val="18"/>
              </w:rPr>
            </w:pPr>
            <w:r w:rsidRPr="00C62D8E">
              <w:rPr>
                <w:rFonts w:ascii="Noto Sans" w:hAnsi="Noto Sans" w:cs="Noto Sans"/>
                <w:b/>
                <w:bCs/>
                <w:color w:val="FFFFFF" w:themeColor="background1"/>
                <w:szCs w:val="18"/>
              </w:rPr>
              <w:t>Contratado</w:t>
            </w:r>
          </w:p>
        </w:tc>
        <w:tc>
          <w:tcPr>
            <w:tcW w:w="1134" w:type="dxa"/>
            <w:shd w:val="clear" w:color="auto" w:fill="9D2449"/>
            <w:noWrap/>
            <w:vAlign w:val="center"/>
            <w:hideMark/>
          </w:tcPr>
          <w:p w14:paraId="6D8F2AE4" w14:textId="77777777" w:rsidR="00F97EAF" w:rsidRPr="00C62D8E" w:rsidRDefault="00F97EAF" w:rsidP="00FE319A">
            <w:pPr>
              <w:spacing w:line="276" w:lineRule="auto"/>
              <w:jc w:val="center"/>
              <w:rPr>
                <w:rFonts w:ascii="Noto Sans" w:hAnsi="Noto Sans" w:cs="Noto Sans"/>
                <w:b/>
                <w:bCs/>
                <w:color w:val="FFFFFF" w:themeColor="background1"/>
                <w:szCs w:val="18"/>
              </w:rPr>
            </w:pPr>
            <w:r w:rsidRPr="00C62D8E">
              <w:rPr>
                <w:rFonts w:ascii="Noto Sans" w:hAnsi="Noto Sans" w:cs="Noto Sans"/>
                <w:b/>
                <w:bCs/>
                <w:color w:val="FFFFFF" w:themeColor="background1"/>
                <w:szCs w:val="18"/>
              </w:rPr>
              <w:t>Variación</w:t>
            </w:r>
          </w:p>
        </w:tc>
        <w:tc>
          <w:tcPr>
            <w:tcW w:w="3738" w:type="dxa"/>
            <w:shd w:val="clear" w:color="auto" w:fill="9D2449"/>
            <w:noWrap/>
            <w:vAlign w:val="center"/>
            <w:hideMark/>
          </w:tcPr>
          <w:p w14:paraId="286D537B" w14:textId="77777777" w:rsidR="00F97EAF" w:rsidRPr="00C62D8E" w:rsidRDefault="00F97EAF" w:rsidP="00FE319A">
            <w:pPr>
              <w:spacing w:line="276" w:lineRule="auto"/>
              <w:jc w:val="center"/>
              <w:rPr>
                <w:rFonts w:ascii="Noto Sans" w:hAnsi="Noto Sans" w:cs="Noto Sans"/>
                <w:b/>
                <w:bCs/>
                <w:color w:val="FFFFFF" w:themeColor="background1"/>
                <w:szCs w:val="18"/>
              </w:rPr>
            </w:pPr>
            <w:r w:rsidRPr="00C62D8E">
              <w:rPr>
                <w:rFonts w:ascii="Noto Sans" w:hAnsi="Noto Sans" w:cs="Noto Sans"/>
                <w:b/>
                <w:bCs/>
                <w:color w:val="FFFFFF" w:themeColor="background1"/>
                <w:szCs w:val="18"/>
              </w:rPr>
              <w:t>Comentarios sobre las variaciones</w:t>
            </w:r>
          </w:p>
        </w:tc>
      </w:tr>
      <w:tr w:rsidR="00F97EAF" w:rsidRPr="007A4FF1" w14:paraId="37A52E9D" w14:textId="77777777" w:rsidTr="00DB181F">
        <w:trPr>
          <w:trHeight w:val="3448"/>
          <w:jc w:val="center"/>
        </w:trPr>
        <w:tc>
          <w:tcPr>
            <w:tcW w:w="846" w:type="dxa"/>
            <w:noWrap/>
            <w:vAlign w:val="center"/>
          </w:tcPr>
          <w:p w14:paraId="7A70C32D" w14:textId="77777777" w:rsidR="00F97EAF" w:rsidRPr="00EB40B8" w:rsidRDefault="00F97EAF" w:rsidP="00847320">
            <w:pPr>
              <w:rPr>
                <w:rFonts w:eastAsia="MS Mincho"/>
                <w:szCs w:val="18"/>
                <w:lang w:eastAsia="es-ES"/>
              </w:rPr>
            </w:pPr>
            <w:r w:rsidRPr="00EB40B8">
              <w:rPr>
                <w:rFonts w:eastAsia="MS Mincho"/>
                <w:szCs w:val="18"/>
                <w:lang w:eastAsia="es-ES"/>
              </w:rPr>
              <w:t>2100</w:t>
            </w:r>
          </w:p>
        </w:tc>
        <w:tc>
          <w:tcPr>
            <w:tcW w:w="18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C9B65" w14:textId="77777777" w:rsidR="00F97EAF" w:rsidRPr="00EB40B8" w:rsidRDefault="00F97EAF" w:rsidP="00847320">
            <w:pPr>
              <w:rPr>
                <w:rFonts w:ascii="Calibri" w:hAnsi="Calibri" w:cs="Calibri"/>
                <w:szCs w:val="18"/>
              </w:rPr>
            </w:pPr>
            <w:r w:rsidRPr="00EB40B8">
              <w:rPr>
                <w:rFonts w:eastAsia="MS Mincho"/>
                <w:szCs w:val="18"/>
                <w:lang w:eastAsia="es-ES"/>
              </w:rPr>
              <w:t>Materiales de Administración, Emisión de Documentos y Artículos Oficiales</w:t>
            </w:r>
          </w:p>
        </w:tc>
        <w:tc>
          <w:tcPr>
            <w:tcW w:w="1427" w:type="dxa"/>
            <w:tcBorders>
              <w:top w:val="single" w:sz="4" w:space="0" w:color="auto"/>
              <w:left w:val="nil"/>
              <w:bottom w:val="single" w:sz="4" w:space="0" w:color="auto"/>
              <w:right w:val="single" w:sz="4" w:space="0" w:color="auto"/>
            </w:tcBorders>
            <w:shd w:val="clear" w:color="auto" w:fill="auto"/>
            <w:noWrap/>
            <w:vAlign w:val="center"/>
          </w:tcPr>
          <w:p w14:paraId="3FE249E2" w14:textId="77777777" w:rsidR="00F97EAF" w:rsidRPr="00D0580B" w:rsidRDefault="00F97EAF" w:rsidP="00847320">
            <w:pPr>
              <w:rPr>
                <w:rFonts w:eastAsia="MS Mincho"/>
                <w:szCs w:val="18"/>
                <w:lang w:eastAsia="es-ES"/>
              </w:rPr>
            </w:pPr>
            <w:r>
              <w:rPr>
                <w:rFonts w:eastAsia="MS Mincho"/>
                <w:szCs w:val="18"/>
                <w:lang w:eastAsia="es-ES"/>
              </w:rPr>
              <w:t>1,397.85</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73934EC" w14:textId="77777777" w:rsidR="00F97EAF" w:rsidRPr="007A2309" w:rsidRDefault="00F97EAF" w:rsidP="00847320">
            <w:pPr>
              <w:rPr>
                <w:rFonts w:eastAsia="MS Mincho"/>
                <w:szCs w:val="18"/>
                <w:lang w:eastAsia="es-ES"/>
              </w:rPr>
            </w:pPr>
            <w:r>
              <w:rPr>
                <w:rFonts w:eastAsia="MS Mincho"/>
                <w:szCs w:val="18"/>
                <w:lang w:eastAsia="es-ES"/>
              </w:rPr>
              <w:t>821.42</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8B02910" w14:textId="77777777" w:rsidR="00F97EAF" w:rsidRPr="007A2309" w:rsidRDefault="00F97EAF" w:rsidP="00847320">
            <w:pPr>
              <w:rPr>
                <w:rFonts w:eastAsia="MS Mincho"/>
                <w:szCs w:val="18"/>
                <w:lang w:eastAsia="es-ES"/>
              </w:rPr>
            </w:pPr>
            <w:r>
              <w:rPr>
                <w:rFonts w:eastAsia="MS Mincho"/>
                <w:szCs w:val="18"/>
                <w:lang w:eastAsia="es-ES"/>
              </w:rPr>
              <w:t>576.43</w:t>
            </w:r>
          </w:p>
        </w:tc>
        <w:tc>
          <w:tcPr>
            <w:tcW w:w="3738" w:type="dxa"/>
            <w:tcBorders>
              <w:top w:val="single" w:sz="4" w:space="0" w:color="auto"/>
              <w:left w:val="nil"/>
              <w:bottom w:val="single" w:sz="4" w:space="0" w:color="auto"/>
              <w:right w:val="single" w:sz="4" w:space="0" w:color="auto"/>
            </w:tcBorders>
            <w:shd w:val="clear" w:color="auto" w:fill="auto"/>
            <w:noWrap/>
            <w:vAlign w:val="center"/>
          </w:tcPr>
          <w:p w14:paraId="392410CC" w14:textId="77777777" w:rsidR="00F97EAF" w:rsidRPr="00D0580B" w:rsidRDefault="00F97EAF" w:rsidP="00847320">
            <w:pPr>
              <w:rPr>
                <w:rFonts w:ascii="Calibri" w:hAnsi="Calibri" w:cs="Calibri"/>
                <w:sz w:val="20"/>
                <w:szCs w:val="20"/>
              </w:rPr>
            </w:pPr>
            <w:r w:rsidRPr="00FE319A">
              <w:rPr>
                <w:rFonts w:ascii="Noto Sans" w:hAnsi="Noto Sans" w:cs="Noto Sans"/>
                <w:sz w:val="20"/>
                <w:szCs w:val="20"/>
              </w:rPr>
              <w:t>La variación de 576.43 miles de pesos, corresponden 459.78 miles de pesos a Recursos Propios no ejercidos por cambio de necesidades de los proyectos y 116.65 miles de pesos a adquisiciones varias por importes menores de los que no se realiza contratación, con base en el numeral 28 de las Políticas Bases y Lineamientos en Materia de Adquisiciones Arrendamientos y Servicios del INECOL.</w:t>
            </w:r>
          </w:p>
        </w:tc>
      </w:tr>
      <w:tr w:rsidR="00F97EAF" w:rsidRPr="00FE319A" w14:paraId="1B97D908" w14:textId="77777777" w:rsidTr="00DB181F">
        <w:trPr>
          <w:trHeight w:val="3459"/>
          <w:jc w:val="center"/>
        </w:trPr>
        <w:tc>
          <w:tcPr>
            <w:tcW w:w="846" w:type="dxa"/>
            <w:noWrap/>
            <w:vAlign w:val="center"/>
          </w:tcPr>
          <w:p w14:paraId="56FA01F8"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2200</w:t>
            </w:r>
          </w:p>
        </w:tc>
        <w:tc>
          <w:tcPr>
            <w:tcW w:w="18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A6521"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Alimentos y Utensilios</w:t>
            </w:r>
          </w:p>
        </w:tc>
        <w:tc>
          <w:tcPr>
            <w:tcW w:w="1427" w:type="dxa"/>
            <w:tcBorders>
              <w:top w:val="single" w:sz="4" w:space="0" w:color="auto"/>
              <w:left w:val="nil"/>
              <w:bottom w:val="single" w:sz="4" w:space="0" w:color="auto"/>
              <w:right w:val="single" w:sz="4" w:space="0" w:color="auto"/>
            </w:tcBorders>
            <w:shd w:val="clear" w:color="auto" w:fill="auto"/>
            <w:noWrap/>
            <w:vAlign w:val="center"/>
          </w:tcPr>
          <w:p w14:paraId="05767B42"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514.98</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D634568"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84.82</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6A639F"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430.16</w:t>
            </w:r>
          </w:p>
        </w:tc>
        <w:tc>
          <w:tcPr>
            <w:tcW w:w="3738" w:type="dxa"/>
            <w:tcBorders>
              <w:top w:val="single" w:sz="4" w:space="0" w:color="auto"/>
              <w:left w:val="nil"/>
              <w:bottom w:val="single" w:sz="4" w:space="0" w:color="auto"/>
              <w:right w:val="single" w:sz="4" w:space="0" w:color="auto"/>
            </w:tcBorders>
            <w:shd w:val="clear" w:color="auto" w:fill="auto"/>
            <w:noWrap/>
            <w:vAlign w:val="center"/>
          </w:tcPr>
          <w:p w14:paraId="107CB77C"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La variación de 430.16 miles de pesos corresponden 344.00 miles de pesos a Recursos Propios no ejercidos por cambio de necesidades de los proyectos y 86.16 miles de pesos a adquisiciones varias por importes menores de los que no se realiza contratación, con base en el numeral 28 de las Políticas Bases y Lineamientos en Materia de Adquisiciones, Arrendamientos y Servicios del INECOL.</w:t>
            </w:r>
          </w:p>
        </w:tc>
      </w:tr>
      <w:tr w:rsidR="00F97EAF" w:rsidRPr="00FE319A" w14:paraId="524C6E54" w14:textId="77777777" w:rsidTr="00DB181F">
        <w:trPr>
          <w:trHeight w:val="642"/>
          <w:jc w:val="center"/>
        </w:trPr>
        <w:tc>
          <w:tcPr>
            <w:tcW w:w="846" w:type="dxa"/>
            <w:noWrap/>
            <w:vAlign w:val="center"/>
          </w:tcPr>
          <w:p w14:paraId="2B6DB83D"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2400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2B41B5B5"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Materiales y Artículos de construcción y de Reparación</w:t>
            </w:r>
          </w:p>
        </w:tc>
        <w:tc>
          <w:tcPr>
            <w:tcW w:w="1427" w:type="dxa"/>
            <w:tcBorders>
              <w:top w:val="nil"/>
              <w:left w:val="nil"/>
              <w:bottom w:val="single" w:sz="4" w:space="0" w:color="auto"/>
              <w:right w:val="single" w:sz="4" w:space="0" w:color="auto"/>
            </w:tcBorders>
            <w:shd w:val="clear" w:color="auto" w:fill="auto"/>
            <w:noWrap/>
            <w:vAlign w:val="center"/>
          </w:tcPr>
          <w:p w14:paraId="12E4A76A"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1,176.88</w:t>
            </w:r>
          </w:p>
        </w:tc>
        <w:tc>
          <w:tcPr>
            <w:tcW w:w="1418" w:type="dxa"/>
            <w:tcBorders>
              <w:top w:val="nil"/>
              <w:left w:val="nil"/>
              <w:bottom w:val="single" w:sz="4" w:space="0" w:color="auto"/>
              <w:right w:val="single" w:sz="4" w:space="0" w:color="auto"/>
            </w:tcBorders>
            <w:shd w:val="clear" w:color="auto" w:fill="auto"/>
            <w:noWrap/>
            <w:vAlign w:val="center"/>
          </w:tcPr>
          <w:p w14:paraId="68F74BFF"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511.66</w:t>
            </w:r>
          </w:p>
        </w:tc>
        <w:tc>
          <w:tcPr>
            <w:tcW w:w="1134" w:type="dxa"/>
            <w:tcBorders>
              <w:top w:val="nil"/>
              <w:left w:val="nil"/>
              <w:bottom w:val="single" w:sz="4" w:space="0" w:color="auto"/>
              <w:right w:val="single" w:sz="4" w:space="0" w:color="auto"/>
            </w:tcBorders>
            <w:shd w:val="clear" w:color="auto" w:fill="auto"/>
            <w:noWrap/>
            <w:vAlign w:val="center"/>
          </w:tcPr>
          <w:p w14:paraId="722B6234"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665.22</w:t>
            </w:r>
          </w:p>
        </w:tc>
        <w:tc>
          <w:tcPr>
            <w:tcW w:w="3738" w:type="dxa"/>
            <w:shd w:val="clear" w:color="auto" w:fill="auto"/>
            <w:noWrap/>
            <w:vAlign w:val="center"/>
          </w:tcPr>
          <w:p w14:paraId="05636CAA"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 xml:space="preserve">La variación de 665.22 miles de pesos corresponden 621.27 miles de pesos a Recursos Propios no ejercidos por cambio de necesidades de los proyectos y 43.95 miles de pesos, a adquisiciones varias por importes menores de los que no se realiza contratación, con base en el numeral 28 de las Políticas Bases y Lineamientos en Materia de </w:t>
            </w:r>
            <w:r w:rsidRPr="00FE319A">
              <w:rPr>
                <w:rFonts w:ascii="Noto Sans" w:hAnsi="Noto Sans" w:cs="Noto Sans"/>
                <w:sz w:val="20"/>
                <w:szCs w:val="20"/>
              </w:rPr>
              <w:lastRenderedPageBreak/>
              <w:t>Adquisiciones, Arrendamientos y Servicios del INECOL.</w:t>
            </w:r>
          </w:p>
        </w:tc>
      </w:tr>
      <w:tr w:rsidR="00F97EAF" w:rsidRPr="00FE319A" w14:paraId="58D84219" w14:textId="77777777" w:rsidTr="00847320">
        <w:trPr>
          <w:trHeight w:val="668"/>
          <w:jc w:val="center"/>
        </w:trPr>
        <w:tc>
          <w:tcPr>
            <w:tcW w:w="846" w:type="dxa"/>
            <w:noWrap/>
            <w:vAlign w:val="center"/>
          </w:tcPr>
          <w:p w14:paraId="59316BAC"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lastRenderedPageBreak/>
              <w:t>2500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57FC998C"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Productos Químicos, Farmacéuticos y de Laboratorio</w:t>
            </w:r>
          </w:p>
        </w:tc>
        <w:tc>
          <w:tcPr>
            <w:tcW w:w="1427" w:type="dxa"/>
            <w:tcBorders>
              <w:top w:val="nil"/>
              <w:left w:val="nil"/>
              <w:bottom w:val="single" w:sz="4" w:space="0" w:color="auto"/>
              <w:right w:val="single" w:sz="4" w:space="0" w:color="auto"/>
            </w:tcBorders>
            <w:shd w:val="clear" w:color="auto" w:fill="auto"/>
            <w:noWrap/>
            <w:vAlign w:val="center"/>
          </w:tcPr>
          <w:p w14:paraId="109B7790"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21,540.34</w:t>
            </w:r>
          </w:p>
        </w:tc>
        <w:tc>
          <w:tcPr>
            <w:tcW w:w="1418" w:type="dxa"/>
            <w:tcBorders>
              <w:top w:val="nil"/>
              <w:left w:val="nil"/>
              <w:bottom w:val="single" w:sz="4" w:space="0" w:color="auto"/>
              <w:right w:val="single" w:sz="4" w:space="0" w:color="auto"/>
            </w:tcBorders>
            <w:shd w:val="clear" w:color="auto" w:fill="auto"/>
            <w:noWrap/>
            <w:vAlign w:val="center"/>
          </w:tcPr>
          <w:p w14:paraId="374691C6"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1,952.67</w:t>
            </w:r>
          </w:p>
        </w:tc>
        <w:tc>
          <w:tcPr>
            <w:tcW w:w="1134" w:type="dxa"/>
            <w:tcBorders>
              <w:top w:val="nil"/>
              <w:left w:val="nil"/>
              <w:bottom w:val="single" w:sz="4" w:space="0" w:color="auto"/>
              <w:right w:val="single" w:sz="4" w:space="0" w:color="auto"/>
            </w:tcBorders>
            <w:shd w:val="clear" w:color="auto" w:fill="auto"/>
            <w:noWrap/>
            <w:vAlign w:val="center"/>
          </w:tcPr>
          <w:p w14:paraId="29533731"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19,587.68</w:t>
            </w:r>
          </w:p>
        </w:tc>
        <w:tc>
          <w:tcPr>
            <w:tcW w:w="3738" w:type="dxa"/>
            <w:noWrap/>
            <w:vAlign w:val="center"/>
          </w:tcPr>
          <w:p w14:paraId="7879199B"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La variación de 19,587.68 miles de pesos corresponden 19,492.82 miles de pesos a Recursos Propios no ejercidos por cambio de necesidades de los proyectos y 94.86 miles de pesos, a adquisiciones varias por importes menores de los que no se realiza contratación, con base en el numeral 28 de las Políticas Bases y Lineamientos en Materia de Adquisiciones, Arrendamientos y Servicios del INECOL.</w:t>
            </w:r>
          </w:p>
        </w:tc>
      </w:tr>
      <w:tr w:rsidR="00F97EAF" w:rsidRPr="00FE319A" w14:paraId="0E90B971" w14:textId="77777777" w:rsidTr="00DB181F">
        <w:trPr>
          <w:trHeight w:val="3640"/>
          <w:jc w:val="center"/>
        </w:trPr>
        <w:tc>
          <w:tcPr>
            <w:tcW w:w="846" w:type="dxa"/>
            <w:noWrap/>
            <w:vAlign w:val="center"/>
          </w:tcPr>
          <w:p w14:paraId="7B6C9D68"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2600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10DFA74E"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Combustibles, Lubricantes y Aditivos</w:t>
            </w:r>
          </w:p>
        </w:tc>
        <w:tc>
          <w:tcPr>
            <w:tcW w:w="1427" w:type="dxa"/>
            <w:tcBorders>
              <w:top w:val="nil"/>
              <w:left w:val="nil"/>
              <w:bottom w:val="single" w:sz="4" w:space="0" w:color="auto"/>
              <w:right w:val="single" w:sz="4" w:space="0" w:color="auto"/>
            </w:tcBorders>
            <w:shd w:val="clear" w:color="auto" w:fill="auto"/>
            <w:noWrap/>
            <w:vAlign w:val="center"/>
          </w:tcPr>
          <w:p w14:paraId="6F220D03"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2,938.65</w:t>
            </w:r>
          </w:p>
        </w:tc>
        <w:tc>
          <w:tcPr>
            <w:tcW w:w="1418" w:type="dxa"/>
            <w:tcBorders>
              <w:top w:val="nil"/>
              <w:left w:val="nil"/>
              <w:bottom w:val="single" w:sz="4" w:space="0" w:color="auto"/>
              <w:right w:val="single" w:sz="4" w:space="0" w:color="auto"/>
            </w:tcBorders>
            <w:shd w:val="clear" w:color="auto" w:fill="auto"/>
            <w:noWrap/>
            <w:vAlign w:val="center"/>
          </w:tcPr>
          <w:p w14:paraId="085A1658"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0.63</w:t>
            </w:r>
          </w:p>
        </w:tc>
        <w:tc>
          <w:tcPr>
            <w:tcW w:w="1134" w:type="dxa"/>
            <w:tcBorders>
              <w:top w:val="nil"/>
              <w:left w:val="nil"/>
              <w:bottom w:val="single" w:sz="4" w:space="0" w:color="auto"/>
              <w:right w:val="single" w:sz="4" w:space="0" w:color="auto"/>
            </w:tcBorders>
            <w:shd w:val="clear" w:color="auto" w:fill="auto"/>
            <w:noWrap/>
            <w:vAlign w:val="center"/>
          </w:tcPr>
          <w:p w14:paraId="0317D0F7"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2,938.02</w:t>
            </w:r>
          </w:p>
        </w:tc>
        <w:tc>
          <w:tcPr>
            <w:tcW w:w="3738" w:type="dxa"/>
            <w:noWrap/>
            <w:vAlign w:val="center"/>
          </w:tcPr>
          <w:p w14:paraId="43B8408A" w14:textId="13BFA30C" w:rsidR="00F97EAF" w:rsidRPr="00FE319A" w:rsidRDefault="00F97EAF" w:rsidP="00847320">
            <w:pPr>
              <w:rPr>
                <w:rFonts w:ascii="Noto Sans" w:hAnsi="Noto Sans" w:cs="Noto Sans"/>
                <w:sz w:val="20"/>
                <w:szCs w:val="20"/>
              </w:rPr>
            </w:pPr>
            <w:r w:rsidRPr="00FE319A">
              <w:rPr>
                <w:rFonts w:ascii="Noto Sans" w:hAnsi="Noto Sans" w:cs="Noto Sans"/>
                <w:sz w:val="20"/>
                <w:szCs w:val="20"/>
              </w:rPr>
              <w:t>La variación de 2,938.02 miles de pesos corresponden 165.65 miles de pesos a Recursos Propios no ejercidos por cambio de necesidades de los proyectos y 2,772.37 miles de pesos corresponden principalmente a cargas de gasolina, por investigaciones de campo, con fundamento en el numeral 28 de las Políticas Bases y Lineamientos en Materia de Adquisiciones, Arrendamientos y Servicios del INECOL</w:t>
            </w:r>
            <w:r w:rsidR="00DB181F">
              <w:rPr>
                <w:rFonts w:ascii="Noto Sans" w:hAnsi="Noto Sans" w:cs="Noto Sans"/>
                <w:sz w:val="20"/>
                <w:szCs w:val="20"/>
              </w:rPr>
              <w:t>.</w:t>
            </w:r>
          </w:p>
        </w:tc>
      </w:tr>
      <w:tr w:rsidR="00F97EAF" w:rsidRPr="00FE319A" w14:paraId="4F07D02B" w14:textId="77777777" w:rsidTr="00847320">
        <w:trPr>
          <w:trHeight w:val="564"/>
          <w:jc w:val="center"/>
        </w:trPr>
        <w:tc>
          <w:tcPr>
            <w:tcW w:w="846" w:type="dxa"/>
            <w:noWrap/>
            <w:vAlign w:val="center"/>
          </w:tcPr>
          <w:p w14:paraId="6126DD38"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2700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2B019DE3"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Vestuario, Blancos, Prendas de Protección y Artículos Deportivos</w:t>
            </w:r>
          </w:p>
        </w:tc>
        <w:tc>
          <w:tcPr>
            <w:tcW w:w="1427" w:type="dxa"/>
            <w:tcBorders>
              <w:top w:val="nil"/>
              <w:left w:val="nil"/>
              <w:bottom w:val="single" w:sz="4" w:space="0" w:color="auto"/>
              <w:right w:val="single" w:sz="4" w:space="0" w:color="auto"/>
            </w:tcBorders>
            <w:shd w:val="clear" w:color="auto" w:fill="auto"/>
            <w:noWrap/>
            <w:vAlign w:val="center"/>
          </w:tcPr>
          <w:p w14:paraId="7812E08F"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4,952.65</w:t>
            </w:r>
          </w:p>
        </w:tc>
        <w:tc>
          <w:tcPr>
            <w:tcW w:w="1418" w:type="dxa"/>
            <w:tcBorders>
              <w:top w:val="nil"/>
              <w:left w:val="nil"/>
              <w:bottom w:val="single" w:sz="4" w:space="0" w:color="auto"/>
              <w:right w:val="single" w:sz="4" w:space="0" w:color="auto"/>
            </w:tcBorders>
            <w:shd w:val="clear" w:color="auto" w:fill="auto"/>
            <w:noWrap/>
            <w:vAlign w:val="center"/>
          </w:tcPr>
          <w:p w14:paraId="073DB8A7"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202.37</w:t>
            </w:r>
          </w:p>
        </w:tc>
        <w:tc>
          <w:tcPr>
            <w:tcW w:w="1134" w:type="dxa"/>
            <w:tcBorders>
              <w:top w:val="nil"/>
              <w:left w:val="nil"/>
              <w:bottom w:val="single" w:sz="4" w:space="0" w:color="auto"/>
              <w:right w:val="single" w:sz="4" w:space="0" w:color="auto"/>
            </w:tcBorders>
            <w:shd w:val="clear" w:color="auto" w:fill="auto"/>
            <w:noWrap/>
            <w:vAlign w:val="center"/>
          </w:tcPr>
          <w:p w14:paraId="65E184F4"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4,750.28</w:t>
            </w:r>
          </w:p>
        </w:tc>
        <w:tc>
          <w:tcPr>
            <w:tcW w:w="3738" w:type="dxa"/>
            <w:noWrap/>
            <w:vAlign w:val="center"/>
          </w:tcPr>
          <w:p w14:paraId="17B67DE1"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 xml:space="preserve">La variación de 4,750.28 miles de pesos corresponden 4,746.12 miles de pesos a Recursos Propios no ejercidos por cambio de necesidades de los proyectos y 4.16 miles de pesos, a adquisiciones varias por importes menores de los que no se realiza contratación, con base en el numeral 28 de las Políticas Bases y Lineamientos en Materia de </w:t>
            </w:r>
            <w:r w:rsidRPr="00FE319A">
              <w:rPr>
                <w:rFonts w:ascii="Noto Sans" w:hAnsi="Noto Sans" w:cs="Noto Sans"/>
                <w:sz w:val="20"/>
                <w:szCs w:val="20"/>
              </w:rPr>
              <w:lastRenderedPageBreak/>
              <w:t>Adquisiciones, Arrendamientos y Servicios del INECOL.</w:t>
            </w:r>
          </w:p>
        </w:tc>
      </w:tr>
      <w:tr w:rsidR="00F97EAF" w:rsidRPr="00FE319A" w14:paraId="5BE3EC70" w14:textId="77777777" w:rsidTr="00847320">
        <w:trPr>
          <w:trHeight w:val="2865"/>
          <w:jc w:val="center"/>
        </w:trPr>
        <w:tc>
          <w:tcPr>
            <w:tcW w:w="846" w:type="dxa"/>
            <w:noWrap/>
            <w:vAlign w:val="center"/>
          </w:tcPr>
          <w:p w14:paraId="79C9DAA2"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lastRenderedPageBreak/>
              <w:t>2900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4FD570F6"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Herramientas, Refacciones y Accesorios Menores</w:t>
            </w:r>
          </w:p>
        </w:tc>
        <w:tc>
          <w:tcPr>
            <w:tcW w:w="1427" w:type="dxa"/>
            <w:tcBorders>
              <w:top w:val="nil"/>
              <w:left w:val="nil"/>
              <w:bottom w:val="single" w:sz="4" w:space="0" w:color="auto"/>
              <w:right w:val="single" w:sz="4" w:space="0" w:color="auto"/>
            </w:tcBorders>
            <w:shd w:val="clear" w:color="auto" w:fill="auto"/>
            <w:noWrap/>
            <w:vAlign w:val="center"/>
          </w:tcPr>
          <w:p w14:paraId="4A5B6DCD"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969.29</w:t>
            </w:r>
          </w:p>
        </w:tc>
        <w:tc>
          <w:tcPr>
            <w:tcW w:w="1418" w:type="dxa"/>
            <w:tcBorders>
              <w:top w:val="nil"/>
              <w:left w:val="nil"/>
              <w:bottom w:val="single" w:sz="4" w:space="0" w:color="auto"/>
              <w:right w:val="single" w:sz="4" w:space="0" w:color="auto"/>
            </w:tcBorders>
            <w:shd w:val="clear" w:color="auto" w:fill="auto"/>
            <w:noWrap/>
            <w:vAlign w:val="center"/>
          </w:tcPr>
          <w:p w14:paraId="3090228C"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476.11</w:t>
            </w:r>
          </w:p>
        </w:tc>
        <w:tc>
          <w:tcPr>
            <w:tcW w:w="1134" w:type="dxa"/>
            <w:tcBorders>
              <w:top w:val="nil"/>
              <w:left w:val="nil"/>
              <w:bottom w:val="single" w:sz="4" w:space="0" w:color="auto"/>
              <w:right w:val="single" w:sz="4" w:space="0" w:color="auto"/>
            </w:tcBorders>
            <w:shd w:val="clear" w:color="auto" w:fill="auto"/>
            <w:noWrap/>
            <w:vAlign w:val="center"/>
          </w:tcPr>
          <w:p w14:paraId="248A1CDE"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493.18</w:t>
            </w:r>
          </w:p>
        </w:tc>
        <w:tc>
          <w:tcPr>
            <w:tcW w:w="3738" w:type="dxa"/>
            <w:noWrap/>
            <w:vAlign w:val="center"/>
          </w:tcPr>
          <w:p w14:paraId="6182397A"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La variación de 493.18 miles de pesos, corresponden 461.03 miles de pesos a Recursos Propios no ejercidos por cambio de necesidades de los proyectos y 32.15 miles de pesos, a adquisiciones varias por importes menores de los que no se realiza contratación, con base en el numeral 28 de las Políticas Bases y Lineamientos en Materia de Adquisiciones, Arrendamientos y Servicios del INECOL.</w:t>
            </w:r>
          </w:p>
        </w:tc>
      </w:tr>
      <w:tr w:rsidR="00F97EAF" w:rsidRPr="00FE319A" w14:paraId="1DF010AD" w14:textId="77777777" w:rsidTr="00847320">
        <w:trPr>
          <w:trHeight w:val="549"/>
          <w:jc w:val="center"/>
        </w:trPr>
        <w:tc>
          <w:tcPr>
            <w:tcW w:w="846" w:type="dxa"/>
            <w:noWrap/>
            <w:vAlign w:val="center"/>
          </w:tcPr>
          <w:p w14:paraId="51F26CD6"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3100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5C463A03"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Básicos</w:t>
            </w:r>
          </w:p>
        </w:tc>
        <w:tc>
          <w:tcPr>
            <w:tcW w:w="1427" w:type="dxa"/>
            <w:tcBorders>
              <w:top w:val="nil"/>
              <w:left w:val="nil"/>
              <w:bottom w:val="single" w:sz="4" w:space="0" w:color="auto"/>
              <w:right w:val="single" w:sz="4" w:space="0" w:color="auto"/>
            </w:tcBorders>
            <w:shd w:val="clear" w:color="auto" w:fill="auto"/>
            <w:noWrap/>
            <w:vAlign w:val="center"/>
          </w:tcPr>
          <w:p w14:paraId="0D2C70FD"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10,553.48</w:t>
            </w:r>
          </w:p>
        </w:tc>
        <w:tc>
          <w:tcPr>
            <w:tcW w:w="1418" w:type="dxa"/>
            <w:tcBorders>
              <w:top w:val="nil"/>
              <w:left w:val="nil"/>
              <w:bottom w:val="single" w:sz="4" w:space="0" w:color="auto"/>
              <w:right w:val="single" w:sz="4" w:space="0" w:color="auto"/>
            </w:tcBorders>
            <w:shd w:val="clear" w:color="auto" w:fill="auto"/>
            <w:noWrap/>
            <w:vAlign w:val="center"/>
          </w:tcPr>
          <w:p w14:paraId="7CF762F6" w14:textId="358DAF78" w:rsidR="00F97EAF" w:rsidRPr="00FE319A" w:rsidRDefault="00F97EAF" w:rsidP="00847320">
            <w:pPr>
              <w:rPr>
                <w:rFonts w:ascii="Noto Sans" w:hAnsi="Noto Sans" w:cs="Noto Sans"/>
                <w:sz w:val="20"/>
                <w:szCs w:val="20"/>
              </w:rPr>
            </w:pPr>
            <w:r w:rsidRPr="00FE319A">
              <w:rPr>
                <w:rFonts w:ascii="Noto Sans" w:hAnsi="Noto Sans" w:cs="Noto Sans"/>
                <w:sz w:val="20"/>
                <w:szCs w:val="20"/>
              </w:rPr>
              <w:t>686.76</w:t>
            </w:r>
          </w:p>
        </w:tc>
        <w:tc>
          <w:tcPr>
            <w:tcW w:w="1134" w:type="dxa"/>
            <w:tcBorders>
              <w:top w:val="nil"/>
              <w:left w:val="nil"/>
              <w:bottom w:val="single" w:sz="4" w:space="0" w:color="auto"/>
              <w:right w:val="single" w:sz="4" w:space="0" w:color="auto"/>
            </w:tcBorders>
            <w:shd w:val="clear" w:color="auto" w:fill="auto"/>
            <w:noWrap/>
            <w:vAlign w:val="center"/>
          </w:tcPr>
          <w:p w14:paraId="399C7B64" w14:textId="5F6A2CB7" w:rsidR="00F97EAF" w:rsidRPr="00FE319A" w:rsidRDefault="008D542B" w:rsidP="00847320">
            <w:pPr>
              <w:rPr>
                <w:rFonts w:ascii="Noto Sans" w:hAnsi="Noto Sans" w:cs="Noto Sans"/>
                <w:sz w:val="20"/>
                <w:szCs w:val="20"/>
              </w:rPr>
            </w:pPr>
            <w:r w:rsidRPr="00FE319A">
              <w:rPr>
                <w:rFonts w:ascii="Noto Sans" w:hAnsi="Noto Sans" w:cs="Noto Sans"/>
                <w:sz w:val="20"/>
                <w:szCs w:val="20"/>
              </w:rPr>
              <w:t>9,866.72</w:t>
            </w:r>
          </w:p>
        </w:tc>
        <w:tc>
          <w:tcPr>
            <w:tcW w:w="3738" w:type="dxa"/>
            <w:noWrap/>
            <w:vAlign w:val="center"/>
          </w:tcPr>
          <w:p w14:paraId="43368744" w14:textId="718F0A86" w:rsidR="00F97EAF" w:rsidRPr="00FE319A" w:rsidRDefault="00F97EAF" w:rsidP="00847320">
            <w:pPr>
              <w:rPr>
                <w:rFonts w:ascii="Noto Sans" w:hAnsi="Noto Sans" w:cs="Noto Sans"/>
                <w:sz w:val="20"/>
                <w:szCs w:val="20"/>
              </w:rPr>
            </w:pPr>
            <w:r w:rsidRPr="00FE319A">
              <w:rPr>
                <w:rFonts w:ascii="Noto Sans" w:hAnsi="Noto Sans" w:cs="Noto Sans"/>
                <w:sz w:val="20"/>
                <w:szCs w:val="20"/>
              </w:rPr>
              <w:t>La variación de</w:t>
            </w:r>
            <w:r w:rsidR="008D542B" w:rsidRPr="00FE319A">
              <w:rPr>
                <w:rFonts w:ascii="Noto Sans" w:hAnsi="Noto Sans" w:cs="Noto Sans"/>
                <w:sz w:val="20"/>
                <w:szCs w:val="20"/>
              </w:rPr>
              <w:t xml:space="preserve"> 9,866.72</w:t>
            </w:r>
            <w:r w:rsidRPr="00FE319A">
              <w:rPr>
                <w:rFonts w:ascii="Noto Sans" w:hAnsi="Noto Sans" w:cs="Noto Sans"/>
                <w:sz w:val="20"/>
                <w:szCs w:val="20"/>
              </w:rPr>
              <w:t xml:space="preserve"> miles de pesos corresponden </w:t>
            </w:r>
            <w:r w:rsidR="008D542B" w:rsidRPr="00FE319A">
              <w:rPr>
                <w:rFonts w:ascii="Noto Sans" w:hAnsi="Noto Sans" w:cs="Noto Sans"/>
                <w:sz w:val="20"/>
                <w:szCs w:val="20"/>
              </w:rPr>
              <w:t>9,</w:t>
            </w:r>
            <w:r w:rsidR="0053485C" w:rsidRPr="00FE319A">
              <w:rPr>
                <w:rFonts w:ascii="Noto Sans" w:hAnsi="Noto Sans" w:cs="Noto Sans"/>
                <w:sz w:val="20"/>
                <w:szCs w:val="20"/>
              </w:rPr>
              <w:t>498.14</w:t>
            </w:r>
            <w:r w:rsidRPr="00FE319A">
              <w:rPr>
                <w:rFonts w:ascii="Noto Sans" w:hAnsi="Noto Sans" w:cs="Noto Sans"/>
                <w:sz w:val="20"/>
                <w:szCs w:val="20"/>
              </w:rPr>
              <w:t xml:space="preserve"> por el pago de servicios básicos entre los que se encuentran agua, luz, teléfono e internet y servicio postal y mensajería, y </w:t>
            </w:r>
            <w:r w:rsidR="0053485C" w:rsidRPr="00FE319A">
              <w:rPr>
                <w:rFonts w:ascii="Noto Sans" w:hAnsi="Noto Sans" w:cs="Noto Sans"/>
                <w:sz w:val="20"/>
                <w:szCs w:val="20"/>
              </w:rPr>
              <w:t>368.58</w:t>
            </w:r>
            <w:r w:rsidRPr="00FE319A">
              <w:rPr>
                <w:rFonts w:ascii="Noto Sans" w:hAnsi="Noto Sans" w:cs="Noto Sans"/>
                <w:sz w:val="20"/>
                <w:szCs w:val="20"/>
              </w:rPr>
              <w:t xml:space="preserve"> miles de pesos de recursos propios no ejercidos por el cambio de necesidades de los proyectos, y a importes menores de los que no se realiza contratación con base en el numeral 28 de las políticas, bases y lineamientos en materia de adquisiciones, arrendamientos y servicios del INECOL.</w:t>
            </w:r>
          </w:p>
        </w:tc>
      </w:tr>
      <w:tr w:rsidR="00F97EAF" w:rsidRPr="00FE319A" w14:paraId="3B5CA289" w14:textId="77777777" w:rsidTr="00847320">
        <w:trPr>
          <w:trHeight w:val="530"/>
          <w:jc w:val="center"/>
        </w:trPr>
        <w:tc>
          <w:tcPr>
            <w:tcW w:w="846" w:type="dxa"/>
            <w:noWrap/>
            <w:vAlign w:val="center"/>
          </w:tcPr>
          <w:p w14:paraId="1DBC6F94"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3200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6111331E"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de Arrendamiento (excepto las partidas 321 y322)</w:t>
            </w:r>
          </w:p>
        </w:tc>
        <w:tc>
          <w:tcPr>
            <w:tcW w:w="1427" w:type="dxa"/>
            <w:tcBorders>
              <w:top w:val="nil"/>
              <w:left w:val="nil"/>
              <w:bottom w:val="single" w:sz="4" w:space="0" w:color="auto"/>
              <w:right w:val="single" w:sz="4" w:space="0" w:color="auto"/>
            </w:tcBorders>
            <w:shd w:val="clear" w:color="auto" w:fill="auto"/>
            <w:noWrap/>
            <w:vAlign w:val="center"/>
          </w:tcPr>
          <w:p w14:paraId="6BE2E222" w14:textId="2D0B7A84" w:rsidR="00F97EAF" w:rsidRPr="00FE319A" w:rsidRDefault="00F97EAF" w:rsidP="00847320">
            <w:pPr>
              <w:rPr>
                <w:rFonts w:ascii="Noto Sans" w:hAnsi="Noto Sans" w:cs="Noto Sans"/>
                <w:sz w:val="20"/>
                <w:szCs w:val="20"/>
              </w:rPr>
            </w:pPr>
            <w:r w:rsidRPr="00FE319A">
              <w:rPr>
                <w:rFonts w:ascii="Noto Sans" w:hAnsi="Noto Sans" w:cs="Noto Sans"/>
                <w:sz w:val="20"/>
                <w:szCs w:val="20"/>
              </w:rPr>
              <w:t>12,9</w:t>
            </w:r>
            <w:r w:rsidR="006F2AA3">
              <w:rPr>
                <w:rFonts w:ascii="Noto Sans" w:hAnsi="Noto Sans" w:cs="Noto Sans"/>
                <w:sz w:val="20"/>
                <w:szCs w:val="20"/>
              </w:rPr>
              <w:t>6</w:t>
            </w:r>
            <w:r w:rsidRPr="00FE319A">
              <w:rPr>
                <w:rFonts w:ascii="Noto Sans" w:hAnsi="Noto Sans" w:cs="Noto Sans"/>
                <w:sz w:val="20"/>
                <w:szCs w:val="20"/>
              </w:rPr>
              <w:t>6.17</w:t>
            </w:r>
          </w:p>
        </w:tc>
        <w:tc>
          <w:tcPr>
            <w:tcW w:w="1418" w:type="dxa"/>
            <w:tcBorders>
              <w:top w:val="nil"/>
              <w:left w:val="nil"/>
              <w:bottom w:val="single" w:sz="4" w:space="0" w:color="auto"/>
              <w:right w:val="single" w:sz="4" w:space="0" w:color="auto"/>
            </w:tcBorders>
            <w:shd w:val="clear" w:color="auto" w:fill="auto"/>
            <w:noWrap/>
            <w:vAlign w:val="center"/>
          </w:tcPr>
          <w:p w14:paraId="7A0A2331" w14:textId="04619A01" w:rsidR="00F97EAF" w:rsidRPr="00FE319A" w:rsidRDefault="00F97EAF" w:rsidP="00847320">
            <w:pPr>
              <w:rPr>
                <w:rFonts w:ascii="Noto Sans" w:hAnsi="Noto Sans" w:cs="Noto Sans"/>
                <w:sz w:val="20"/>
                <w:szCs w:val="20"/>
              </w:rPr>
            </w:pPr>
            <w:r w:rsidRPr="00FE319A">
              <w:rPr>
                <w:rFonts w:ascii="Noto Sans" w:hAnsi="Noto Sans" w:cs="Noto Sans"/>
                <w:sz w:val="20"/>
                <w:szCs w:val="20"/>
              </w:rPr>
              <w:t>10,333.22</w:t>
            </w:r>
          </w:p>
        </w:tc>
        <w:tc>
          <w:tcPr>
            <w:tcW w:w="1134" w:type="dxa"/>
            <w:tcBorders>
              <w:top w:val="nil"/>
              <w:left w:val="nil"/>
              <w:bottom w:val="single" w:sz="4" w:space="0" w:color="auto"/>
              <w:right w:val="single" w:sz="4" w:space="0" w:color="auto"/>
            </w:tcBorders>
            <w:shd w:val="clear" w:color="auto" w:fill="auto"/>
            <w:noWrap/>
            <w:vAlign w:val="center"/>
          </w:tcPr>
          <w:p w14:paraId="71F4FDEB" w14:textId="281AE5C9" w:rsidR="00F97EAF" w:rsidRPr="00FE319A" w:rsidRDefault="000746AB" w:rsidP="00847320">
            <w:pPr>
              <w:rPr>
                <w:rFonts w:ascii="Noto Sans" w:hAnsi="Noto Sans" w:cs="Noto Sans"/>
                <w:sz w:val="20"/>
                <w:szCs w:val="20"/>
              </w:rPr>
            </w:pPr>
            <w:r w:rsidRPr="00FE319A">
              <w:rPr>
                <w:rFonts w:ascii="Noto Sans" w:hAnsi="Noto Sans" w:cs="Noto Sans"/>
                <w:sz w:val="20"/>
                <w:szCs w:val="20"/>
              </w:rPr>
              <w:t>2,6</w:t>
            </w:r>
            <w:r w:rsidR="006F2AA3">
              <w:rPr>
                <w:rFonts w:ascii="Noto Sans" w:hAnsi="Noto Sans" w:cs="Noto Sans"/>
                <w:sz w:val="20"/>
                <w:szCs w:val="20"/>
              </w:rPr>
              <w:t>3</w:t>
            </w:r>
            <w:r w:rsidRPr="00FE319A">
              <w:rPr>
                <w:rFonts w:ascii="Noto Sans" w:hAnsi="Noto Sans" w:cs="Noto Sans"/>
                <w:sz w:val="20"/>
                <w:szCs w:val="20"/>
              </w:rPr>
              <w:t>2.95</w:t>
            </w:r>
          </w:p>
        </w:tc>
        <w:tc>
          <w:tcPr>
            <w:tcW w:w="3738" w:type="dxa"/>
            <w:noWrap/>
            <w:vAlign w:val="center"/>
          </w:tcPr>
          <w:p w14:paraId="5EBE0898" w14:textId="188C4E14" w:rsidR="00F97EAF" w:rsidRPr="00FE319A" w:rsidRDefault="00F97EAF" w:rsidP="00847320">
            <w:pPr>
              <w:rPr>
                <w:rFonts w:ascii="Noto Sans" w:hAnsi="Noto Sans" w:cs="Noto Sans"/>
                <w:sz w:val="20"/>
                <w:szCs w:val="20"/>
              </w:rPr>
            </w:pPr>
            <w:bookmarkStart w:id="0" w:name="_Hlk97199505"/>
            <w:r w:rsidRPr="00107D29">
              <w:rPr>
                <w:rFonts w:ascii="Noto Sans" w:hAnsi="Noto Sans" w:cs="Noto Sans"/>
                <w:sz w:val="20"/>
                <w:szCs w:val="20"/>
              </w:rPr>
              <w:t xml:space="preserve">La variación de </w:t>
            </w:r>
            <w:r w:rsidR="000746AB" w:rsidRPr="00107D29">
              <w:rPr>
                <w:rFonts w:ascii="Noto Sans" w:hAnsi="Noto Sans" w:cs="Noto Sans"/>
                <w:sz w:val="20"/>
                <w:szCs w:val="20"/>
              </w:rPr>
              <w:t>2,6</w:t>
            </w:r>
            <w:r w:rsidR="006F2AA3">
              <w:rPr>
                <w:rFonts w:ascii="Noto Sans" w:hAnsi="Noto Sans" w:cs="Noto Sans"/>
                <w:sz w:val="20"/>
                <w:szCs w:val="20"/>
              </w:rPr>
              <w:t>3</w:t>
            </w:r>
            <w:r w:rsidR="000746AB" w:rsidRPr="00107D29">
              <w:rPr>
                <w:rFonts w:ascii="Noto Sans" w:hAnsi="Noto Sans" w:cs="Noto Sans"/>
                <w:sz w:val="20"/>
                <w:szCs w:val="20"/>
              </w:rPr>
              <w:t>2.95</w:t>
            </w:r>
            <w:r w:rsidRPr="00107D29">
              <w:rPr>
                <w:rFonts w:ascii="Noto Sans" w:hAnsi="Noto Sans" w:cs="Noto Sans"/>
                <w:sz w:val="20"/>
                <w:szCs w:val="20"/>
              </w:rPr>
              <w:t xml:space="preserve"> miles de pesos, corresponden </w:t>
            </w:r>
            <w:r w:rsidR="0084672B" w:rsidRPr="00107D29">
              <w:rPr>
                <w:rFonts w:ascii="Noto Sans" w:hAnsi="Noto Sans" w:cs="Noto Sans"/>
                <w:sz w:val="20"/>
                <w:szCs w:val="20"/>
              </w:rPr>
              <w:t>2</w:t>
            </w:r>
            <w:r w:rsidRPr="00107D29">
              <w:rPr>
                <w:rFonts w:ascii="Noto Sans" w:hAnsi="Noto Sans" w:cs="Noto Sans"/>
                <w:sz w:val="20"/>
                <w:szCs w:val="20"/>
              </w:rPr>
              <w:t>,</w:t>
            </w:r>
            <w:r w:rsidR="0084672B" w:rsidRPr="00107D29">
              <w:rPr>
                <w:rFonts w:ascii="Noto Sans" w:hAnsi="Noto Sans" w:cs="Noto Sans"/>
                <w:sz w:val="20"/>
                <w:szCs w:val="20"/>
              </w:rPr>
              <w:t>092</w:t>
            </w:r>
            <w:r w:rsidRPr="00107D29">
              <w:rPr>
                <w:rFonts w:ascii="Noto Sans" w:hAnsi="Noto Sans" w:cs="Noto Sans"/>
                <w:sz w:val="20"/>
                <w:szCs w:val="20"/>
              </w:rPr>
              <w:t>.</w:t>
            </w:r>
            <w:r w:rsidR="0084672B" w:rsidRPr="00107D29">
              <w:rPr>
                <w:rFonts w:ascii="Noto Sans" w:hAnsi="Noto Sans" w:cs="Noto Sans"/>
                <w:sz w:val="20"/>
                <w:szCs w:val="20"/>
              </w:rPr>
              <w:t>39</w:t>
            </w:r>
            <w:r w:rsidRPr="00107D29">
              <w:rPr>
                <w:rFonts w:ascii="Noto Sans" w:hAnsi="Noto Sans" w:cs="Noto Sans"/>
                <w:sz w:val="20"/>
                <w:szCs w:val="20"/>
              </w:rPr>
              <w:t xml:space="preserve"> a pagos de servicios de patentes; derechos de publicación y sobretiros de artículos en revistas científicas; membresías, entre otros</w:t>
            </w:r>
            <w:bookmarkEnd w:id="0"/>
            <w:r w:rsidRPr="00107D29">
              <w:rPr>
                <w:rFonts w:ascii="Noto Sans" w:hAnsi="Noto Sans" w:cs="Noto Sans"/>
                <w:sz w:val="20"/>
                <w:szCs w:val="20"/>
              </w:rPr>
              <w:t xml:space="preserve">, y </w:t>
            </w:r>
            <w:r w:rsidR="0084672B" w:rsidRPr="00107D29">
              <w:rPr>
                <w:rFonts w:ascii="Noto Sans" w:hAnsi="Noto Sans" w:cs="Noto Sans"/>
                <w:sz w:val="20"/>
                <w:szCs w:val="20"/>
              </w:rPr>
              <w:t>5</w:t>
            </w:r>
            <w:r w:rsidR="006F2AA3">
              <w:rPr>
                <w:rFonts w:ascii="Noto Sans" w:hAnsi="Noto Sans" w:cs="Noto Sans"/>
                <w:sz w:val="20"/>
                <w:szCs w:val="20"/>
              </w:rPr>
              <w:t>4</w:t>
            </w:r>
            <w:r w:rsidR="0084672B" w:rsidRPr="00107D29">
              <w:rPr>
                <w:rFonts w:ascii="Noto Sans" w:hAnsi="Noto Sans" w:cs="Noto Sans"/>
                <w:sz w:val="20"/>
                <w:szCs w:val="20"/>
              </w:rPr>
              <w:t>0</w:t>
            </w:r>
            <w:r w:rsidRPr="00107D29">
              <w:rPr>
                <w:rFonts w:ascii="Noto Sans" w:hAnsi="Noto Sans" w:cs="Noto Sans"/>
                <w:sz w:val="20"/>
                <w:szCs w:val="20"/>
              </w:rPr>
              <w:t>.</w:t>
            </w:r>
            <w:r w:rsidR="0084672B" w:rsidRPr="00107D29">
              <w:rPr>
                <w:rFonts w:ascii="Noto Sans" w:hAnsi="Noto Sans" w:cs="Noto Sans"/>
                <w:sz w:val="20"/>
                <w:szCs w:val="20"/>
              </w:rPr>
              <w:t>56</w:t>
            </w:r>
            <w:r w:rsidRPr="00107D29">
              <w:rPr>
                <w:rFonts w:ascii="Noto Sans" w:hAnsi="Noto Sans" w:cs="Noto Sans"/>
                <w:sz w:val="20"/>
                <w:szCs w:val="20"/>
              </w:rPr>
              <w:t xml:space="preserve"> miles de pesos de recursos propios no ejercidos por el cambio </w:t>
            </w:r>
            <w:r w:rsidRPr="00FE319A">
              <w:rPr>
                <w:rFonts w:ascii="Noto Sans" w:hAnsi="Noto Sans" w:cs="Noto Sans"/>
                <w:sz w:val="20"/>
                <w:szCs w:val="20"/>
              </w:rPr>
              <w:t xml:space="preserve">de necesidades de los proyectos, y, a </w:t>
            </w:r>
            <w:r w:rsidRPr="00FE319A">
              <w:rPr>
                <w:rFonts w:ascii="Noto Sans" w:hAnsi="Noto Sans" w:cs="Noto Sans"/>
                <w:sz w:val="20"/>
                <w:szCs w:val="20"/>
              </w:rPr>
              <w:lastRenderedPageBreak/>
              <w:t>importes menores de los que no se realiza contratación con base en el numeral 28 de las políticas, bases y lineamientos en materia de adquisiciones, arrendamientos y servicios del INECOL.</w:t>
            </w:r>
          </w:p>
        </w:tc>
      </w:tr>
      <w:tr w:rsidR="00F97EAF" w:rsidRPr="00FE319A" w14:paraId="6CC58DDC" w14:textId="77777777" w:rsidTr="00847320">
        <w:trPr>
          <w:trHeight w:val="691"/>
          <w:jc w:val="center"/>
        </w:trPr>
        <w:tc>
          <w:tcPr>
            <w:tcW w:w="846" w:type="dxa"/>
            <w:noWrap/>
            <w:vAlign w:val="center"/>
          </w:tcPr>
          <w:p w14:paraId="6BD42A26"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lastRenderedPageBreak/>
              <w:t>3300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4561DF7A"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Profesionales, Científicos, Técnicos y Otros Servicios</w:t>
            </w:r>
          </w:p>
        </w:tc>
        <w:tc>
          <w:tcPr>
            <w:tcW w:w="1427" w:type="dxa"/>
            <w:tcBorders>
              <w:top w:val="nil"/>
              <w:left w:val="nil"/>
              <w:bottom w:val="single" w:sz="4" w:space="0" w:color="auto"/>
              <w:right w:val="single" w:sz="4" w:space="0" w:color="auto"/>
            </w:tcBorders>
            <w:shd w:val="clear" w:color="auto" w:fill="auto"/>
            <w:noWrap/>
            <w:vAlign w:val="center"/>
          </w:tcPr>
          <w:p w14:paraId="56C725E8"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144,066.94</w:t>
            </w:r>
          </w:p>
        </w:tc>
        <w:tc>
          <w:tcPr>
            <w:tcW w:w="1418" w:type="dxa"/>
            <w:tcBorders>
              <w:top w:val="nil"/>
              <w:left w:val="nil"/>
              <w:bottom w:val="single" w:sz="4" w:space="0" w:color="auto"/>
              <w:right w:val="single" w:sz="4" w:space="0" w:color="auto"/>
            </w:tcBorders>
            <w:shd w:val="clear" w:color="auto" w:fill="auto"/>
            <w:noWrap/>
            <w:vAlign w:val="center"/>
          </w:tcPr>
          <w:p w14:paraId="31062646" w14:textId="76583174" w:rsidR="00F97EAF" w:rsidRPr="00FE319A" w:rsidRDefault="00F97EAF" w:rsidP="00847320">
            <w:pPr>
              <w:rPr>
                <w:rFonts w:ascii="Noto Sans" w:hAnsi="Noto Sans" w:cs="Noto Sans"/>
                <w:sz w:val="20"/>
                <w:szCs w:val="20"/>
              </w:rPr>
            </w:pPr>
            <w:r w:rsidRPr="00FE319A">
              <w:rPr>
                <w:rFonts w:ascii="Noto Sans" w:hAnsi="Noto Sans" w:cs="Noto Sans"/>
                <w:sz w:val="20"/>
                <w:szCs w:val="20"/>
              </w:rPr>
              <w:t>86,116.76</w:t>
            </w:r>
          </w:p>
        </w:tc>
        <w:tc>
          <w:tcPr>
            <w:tcW w:w="1134" w:type="dxa"/>
            <w:tcBorders>
              <w:top w:val="nil"/>
              <w:left w:val="nil"/>
              <w:bottom w:val="single" w:sz="4" w:space="0" w:color="auto"/>
              <w:right w:val="single" w:sz="4" w:space="0" w:color="auto"/>
            </w:tcBorders>
            <w:shd w:val="clear" w:color="auto" w:fill="auto"/>
            <w:noWrap/>
            <w:vAlign w:val="center"/>
          </w:tcPr>
          <w:p w14:paraId="53F721F9" w14:textId="7A44FF68" w:rsidR="00F97EAF" w:rsidRPr="00FE319A" w:rsidRDefault="00C702FA" w:rsidP="00847320">
            <w:pPr>
              <w:rPr>
                <w:rFonts w:ascii="Noto Sans" w:hAnsi="Noto Sans" w:cs="Noto Sans"/>
                <w:sz w:val="20"/>
                <w:szCs w:val="20"/>
              </w:rPr>
            </w:pPr>
            <w:r w:rsidRPr="00FE319A">
              <w:rPr>
                <w:rFonts w:ascii="Noto Sans" w:hAnsi="Noto Sans" w:cs="Noto Sans"/>
                <w:sz w:val="20"/>
                <w:szCs w:val="20"/>
              </w:rPr>
              <w:t>57,950.18</w:t>
            </w:r>
          </w:p>
        </w:tc>
        <w:tc>
          <w:tcPr>
            <w:tcW w:w="3738" w:type="dxa"/>
            <w:noWrap/>
            <w:vAlign w:val="center"/>
          </w:tcPr>
          <w:p w14:paraId="4ADF1F6E" w14:textId="1930CF04" w:rsidR="00F97EAF" w:rsidRPr="00FE319A" w:rsidRDefault="00F97EAF" w:rsidP="00847320">
            <w:pPr>
              <w:rPr>
                <w:rFonts w:ascii="Noto Sans" w:hAnsi="Noto Sans" w:cs="Noto Sans"/>
                <w:sz w:val="20"/>
                <w:szCs w:val="20"/>
              </w:rPr>
            </w:pPr>
            <w:r w:rsidRPr="00FE319A">
              <w:rPr>
                <w:rFonts w:ascii="Noto Sans" w:hAnsi="Noto Sans" w:cs="Noto Sans"/>
                <w:sz w:val="20"/>
                <w:szCs w:val="20"/>
              </w:rPr>
              <w:t xml:space="preserve">La variación por un importe de </w:t>
            </w:r>
            <w:r w:rsidR="00C702FA" w:rsidRPr="00FE319A">
              <w:rPr>
                <w:rFonts w:ascii="Noto Sans" w:hAnsi="Noto Sans" w:cs="Noto Sans"/>
                <w:sz w:val="20"/>
                <w:szCs w:val="20"/>
              </w:rPr>
              <w:t>57,950.18</w:t>
            </w:r>
            <w:r w:rsidRPr="00FE319A">
              <w:rPr>
                <w:rFonts w:ascii="Noto Sans" w:hAnsi="Noto Sans" w:cs="Noto Sans"/>
                <w:sz w:val="20"/>
                <w:szCs w:val="20"/>
              </w:rPr>
              <w:t xml:space="preserve"> miles de pesos </w:t>
            </w:r>
            <w:r w:rsidRPr="00107D29">
              <w:rPr>
                <w:rFonts w:ascii="Noto Sans" w:hAnsi="Noto Sans" w:cs="Noto Sans"/>
                <w:sz w:val="20"/>
                <w:szCs w:val="20"/>
              </w:rPr>
              <w:t xml:space="preserve">corresponden </w:t>
            </w:r>
            <w:r w:rsidR="0084672B" w:rsidRPr="00107D29">
              <w:rPr>
                <w:rFonts w:ascii="Noto Sans" w:hAnsi="Noto Sans" w:cs="Noto Sans"/>
                <w:sz w:val="20"/>
                <w:szCs w:val="20"/>
              </w:rPr>
              <w:t>2</w:t>
            </w:r>
            <w:r w:rsidRPr="00107D29">
              <w:rPr>
                <w:rFonts w:ascii="Noto Sans" w:hAnsi="Noto Sans" w:cs="Noto Sans"/>
                <w:sz w:val="20"/>
                <w:szCs w:val="20"/>
              </w:rPr>
              <w:t>,</w:t>
            </w:r>
            <w:r w:rsidR="0084672B" w:rsidRPr="00107D29">
              <w:rPr>
                <w:rFonts w:ascii="Noto Sans" w:hAnsi="Noto Sans" w:cs="Noto Sans"/>
                <w:sz w:val="20"/>
                <w:szCs w:val="20"/>
              </w:rPr>
              <w:t>505</w:t>
            </w:r>
            <w:r w:rsidRPr="00107D29">
              <w:rPr>
                <w:rFonts w:ascii="Noto Sans" w:hAnsi="Noto Sans" w:cs="Noto Sans"/>
                <w:sz w:val="20"/>
                <w:szCs w:val="20"/>
              </w:rPr>
              <w:t>.</w:t>
            </w:r>
            <w:r w:rsidR="0084672B" w:rsidRPr="00107D29">
              <w:rPr>
                <w:rFonts w:ascii="Noto Sans" w:hAnsi="Noto Sans" w:cs="Noto Sans"/>
                <w:sz w:val="20"/>
                <w:szCs w:val="20"/>
              </w:rPr>
              <w:t>30</w:t>
            </w:r>
            <w:r w:rsidRPr="00107D29">
              <w:rPr>
                <w:rFonts w:ascii="Noto Sans" w:hAnsi="Noto Sans" w:cs="Noto Sans"/>
                <w:sz w:val="20"/>
                <w:szCs w:val="20"/>
              </w:rPr>
              <w:t xml:space="preserve"> al pago directo de servicios como son la publicación de convocatorias de licitaciones; impresión de publicaciones; servicios de capacitación; servicios de traducción; entre otros, y </w:t>
            </w:r>
            <w:r w:rsidR="0084672B" w:rsidRPr="00107D29">
              <w:rPr>
                <w:rFonts w:ascii="Noto Sans" w:hAnsi="Noto Sans" w:cs="Noto Sans"/>
                <w:sz w:val="20"/>
                <w:szCs w:val="20"/>
              </w:rPr>
              <w:t>55</w:t>
            </w:r>
            <w:r w:rsidRPr="00107D29">
              <w:rPr>
                <w:rFonts w:ascii="Noto Sans" w:hAnsi="Noto Sans" w:cs="Noto Sans"/>
                <w:sz w:val="20"/>
                <w:szCs w:val="20"/>
              </w:rPr>
              <w:t>,</w:t>
            </w:r>
            <w:r w:rsidR="0084672B" w:rsidRPr="00107D29">
              <w:rPr>
                <w:rFonts w:ascii="Noto Sans" w:hAnsi="Noto Sans" w:cs="Noto Sans"/>
                <w:sz w:val="20"/>
                <w:szCs w:val="20"/>
              </w:rPr>
              <w:t>444</w:t>
            </w:r>
            <w:r w:rsidRPr="00107D29">
              <w:rPr>
                <w:rFonts w:ascii="Noto Sans" w:hAnsi="Noto Sans" w:cs="Noto Sans"/>
                <w:sz w:val="20"/>
                <w:szCs w:val="20"/>
              </w:rPr>
              <w:t>.</w:t>
            </w:r>
            <w:r w:rsidR="0084672B" w:rsidRPr="00107D29">
              <w:rPr>
                <w:rFonts w:ascii="Noto Sans" w:hAnsi="Noto Sans" w:cs="Noto Sans"/>
                <w:sz w:val="20"/>
                <w:szCs w:val="20"/>
              </w:rPr>
              <w:t>88</w:t>
            </w:r>
            <w:r w:rsidRPr="00107D29">
              <w:rPr>
                <w:rFonts w:ascii="Noto Sans" w:hAnsi="Noto Sans" w:cs="Noto Sans"/>
                <w:sz w:val="20"/>
                <w:szCs w:val="20"/>
              </w:rPr>
              <w:t xml:space="preserve"> miles de pesos de recursos propios no ejercidos por el cambio de necesidades de los proyectos, y a importes menores de los que no se realiza contratación con base en el numeral 28 de las políticas, bases y lineamientos en materia de adquisiciones, arrendamientos y servicios del INECOL.</w:t>
            </w:r>
            <w:r w:rsidRPr="00107D29" w:rsidDel="00757736">
              <w:rPr>
                <w:rFonts w:ascii="Noto Sans" w:hAnsi="Noto Sans" w:cs="Noto Sans"/>
                <w:sz w:val="20"/>
                <w:szCs w:val="20"/>
              </w:rPr>
              <w:t xml:space="preserve"> </w:t>
            </w:r>
          </w:p>
        </w:tc>
      </w:tr>
      <w:tr w:rsidR="00F97EAF" w:rsidRPr="00107D29" w14:paraId="4D02530B" w14:textId="77777777" w:rsidTr="00847320">
        <w:trPr>
          <w:trHeight w:val="526"/>
          <w:jc w:val="center"/>
        </w:trPr>
        <w:tc>
          <w:tcPr>
            <w:tcW w:w="846" w:type="dxa"/>
            <w:noWrap/>
            <w:vAlign w:val="center"/>
          </w:tcPr>
          <w:p w14:paraId="71E01506" w14:textId="77777777" w:rsidR="00F97EAF" w:rsidRPr="00FE319A" w:rsidRDefault="00F97EAF" w:rsidP="00847320">
            <w:pPr>
              <w:rPr>
                <w:rFonts w:ascii="Noto Sans" w:hAnsi="Noto Sans" w:cs="Noto Sans"/>
                <w:sz w:val="20"/>
                <w:szCs w:val="20"/>
              </w:rPr>
            </w:pPr>
            <w:bookmarkStart w:id="1" w:name="_Hlk97200356"/>
            <w:r w:rsidRPr="00FE319A">
              <w:rPr>
                <w:rFonts w:ascii="Noto Sans" w:hAnsi="Noto Sans" w:cs="Noto Sans"/>
                <w:sz w:val="20"/>
                <w:szCs w:val="20"/>
              </w:rPr>
              <w:t>3400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3C937ACB"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Financieros, Bancarios y Comerciales (excepto las partidas 341,343 y 349)</w:t>
            </w:r>
          </w:p>
        </w:tc>
        <w:tc>
          <w:tcPr>
            <w:tcW w:w="1427" w:type="dxa"/>
            <w:tcBorders>
              <w:top w:val="nil"/>
              <w:left w:val="nil"/>
              <w:bottom w:val="single" w:sz="4" w:space="0" w:color="auto"/>
              <w:right w:val="single" w:sz="4" w:space="0" w:color="auto"/>
            </w:tcBorders>
            <w:shd w:val="clear" w:color="auto" w:fill="auto"/>
            <w:noWrap/>
            <w:vAlign w:val="center"/>
          </w:tcPr>
          <w:p w14:paraId="5E88950F" w14:textId="01D693A2" w:rsidR="00F97EAF" w:rsidRPr="00FE319A" w:rsidRDefault="00F97EAF" w:rsidP="00847320">
            <w:pPr>
              <w:rPr>
                <w:rFonts w:ascii="Noto Sans" w:hAnsi="Noto Sans" w:cs="Noto Sans"/>
                <w:sz w:val="20"/>
                <w:szCs w:val="20"/>
              </w:rPr>
            </w:pPr>
            <w:r w:rsidRPr="00FE319A">
              <w:rPr>
                <w:rFonts w:ascii="Noto Sans" w:hAnsi="Noto Sans" w:cs="Noto Sans"/>
                <w:sz w:val="20"/>
                <w:szCs w:val="20"/>
              </w:rPr>
              <w:t>1,680.61</w:t>
            </w:r>
          </w:p>
        </w:tc>
        <w:tc>
          <w:tcPr>
            <w:tcW w:w="1418" w:type="dxa"/>
            <w:tcBorders>
              <w:top w:val="nil"/>
              <w:left w:val="nil"/>
              <w:bottom w:val="single" w:sz="4" w:space="0" w:color="auto"/>
              <w:right w:val="single" w:sz="4" w:space="0" w:color="auto"/>
            </w:tcBorders>
            <w:shd w:val="clear" w:color="auto" w:fill="auto"/>
            <w:noWrap/>
            <w:vAlign w:val="center"/>
          </w:tcPr>
          <w:p w14:paraId="38CB3858" w14:textId="306E1412" w:rsidR="00F97EAF" w:rsidRPr="00FE319A" w:rsidRDefault="00F97EAF" w:rsidP="00847320">
            <w:pPr>
              <w:rPr>
                <w:rFonts w:ascii="Noto Sans" w:hAnsi="Noto Sans" w:cs="Noto Sans"/>
                <w:sz w:val="20"/>
                <w:szCs w:val="20"/>
              </w:rPr>
            </w:pPr>
            <w:r w:rsidRPr="00FE319A">
              <w:rPr>
                <w:rFonts w:ascii="Noto Sans" w:hAnsi="Noto Sans" w:cs="Noto Sans"/>
                <w:sz w:val="20"/>
                <w:szCs w:val="20"/>
              </w:rPr>
              <w:t>1,662.69</w:t>
            </w:r>
          </w:p>
        </w:tc>
        <w:tc>
          <w:tcPr>
            <w:tcW w:w="1134" w:type="dxa"/>
            <w:tcBorders>
              <w:top w:val="nil"/>
              <w:left w:val="nil"/>
              <w:bottom w:val="single" w:sz="4" w:space="0" w:color="auto"/>
              <w:right w:val="single" w:sz="4" w:space="0" w:color="auto"/>
            </w:tcBorders>
            <w:shd w:val="clear" w:color="auto" w:fill="auto"/>
            <w:noWrap/>
            <w:vAlign w:val="center"/>
          </w:tcPr>
          <w:p w14:paraId="673D4961" w14:textId="5BA70B30" w:rsidR="00F97EAF" w:rsidRPr="00FE319A" w:rsidRDefault="00FF4B05" w:rsidP="00847320">
            <w:pPr>
              <w:rPr>
                <w:rFonts w:ascii="Noto Sans" w:hAnsi="Noto Sans" w:cs="Noto Sans"/>
                <w:sz w:val="20"/>
                <w:szCs w:val="20"/>
              </w:rPr>
            </w:pPr>
            <w:r w:rsidRPr="00FE319A">
              <w:rPr>
                <w:rFonts w:ascii="Noto Sans" w:hAnsi="Noto Sans" w:cs="Noto Sans"/>
                <w:sz w:val="20"/>
                <w:szCs w:val="20"/>
              </w:rPr>
              <w:t>17.92</w:t>
            </w:r>
          </w:p>
        </w:tc>
        <w:tc>
          <w:tcPr>
            <w:tcW w:w="3738" w:type="dxa"/>
            <w:noWrap/>
            <w:vAlign w:val="center"/>
          </w:tcPr>
          <w:p w14:paraId="3534FE08" w14:textId="61171AED" w:rsidR="00F97EAF" w:rsidRPr="00107D29" w:rsidRDefault="00F97EAF" w:rsidP="00847320">
            <w:pPr>
              <w:rPr>
                <w:rFonts w:ascii="Noto Sans" w:hAnsi="Noto Sans" w:cs="Noto Sans"/>
                <w:sz w:val="20"/>
                <w:szCs w:val="20"/>
              </w:rPr>
            </w:pPr>
            <w:r w:rsidRPr="00107D29">
              <w:rPr>
                <w:rFonts w:ascii="Noto Sans" w:hAnsi="Noto Sans" w:cs="Noto Sans"/>
                <w:sz w:val="20"/>
                <w:szCs w:val="20"/>
              </w:rPr>
              <w:t xml:space="preserve">La variación por un importe de </w:t>
            </w:r>
            <w:r w:rsidR="00FF4B05" w:rsidRPr="00107D29">
              <w:rPr>
                <w:rFonts w:ascii="Noto Sans" w:hAnsi="Noto Sans" w:cs="Noto Sans"/>
                <w:sz w:val="20"/>
                <w:szCs w:val="20"/>
              </w:rPr>
              <w:t>17.92</w:t>
            </w:r>
            <w:r w:rsidRPr="00107D29">
              <w:rPr>
                <w:rFonts w:ascii="Noto Sans" w:hAnsi="Noto Sans" w:cs="Noto Sans"/>
                <w:sz w:val="20"/>
                <w:szCs w:val="20"/>
              </w:rPr>
              <w:t xml:space="preserve"> miles de pesos corresponden </w:t>
            </w:r>
            <w:r w:rsidR="0084672B" w:rsidRPr="00107D29">
              <w:rPr>
                <w:rFonts w:ascii="Noto Sans" w:hAnsi="Noto Sans" w:cs="Noto Sans"/>
                <w:sz w:val="20"/>
                <w:szCs w:val="20"/>
              </w:rPr>
              <w:t>8</w:t>
            </w:r>
            <w:r w:rsidRPr="00107D29">
              <w:rPr>
                <w:rFonts w:ascii="Noto Sans" w:hAnsi="Noto Sans" w:cs="Noto Sans"/>
                <w:sz w:val="20"/>
                <w:szCs w:val="20"/>
              </w:rPr>
              <w:t>.</w:t>
            </w:r>
            <w:r w:rsidR="0084672B" w:rsidRPr="00107D29">
              <w:rPr>
                <w:rFonts w:ascii="Noto Sans" w:hAnsi="Noto Sans" w:cs="Noto Sans"/>
                <w:sz w:val="20"/>
                <w:szCs w:val="20"/>
              </w:rPr>
              <w:t>58</w:t>
            </w:r>
            <w:r w:rsidRPr="00107D29">
              <w:rPr>
                <w:rFonts w:ascii="Noto Sans" w:hAnsi="Noto Sans" w:cs="Noto Sans"/>
                <w:sz w:val="20"/>
                <w:szCs w:val="20"/>
              </w:rPr>
              <w:t xml:space="preserve"> al pago de deducibles de siniestros, pago de fletes y maniobras, así como servicios y comisiones bancarias, y </w:t>
            </w:r>
            <w:r w:rsidR="0084672B" w:rsidRPr="00107D29">
              <w:rPr>
                <w:rFonts w:ascii="Noto Sans" w:hAnsi="Noto Sans" w:cs="Noto Sans"/>
                <w:sz w:val="20"/>
                <w:szCs w:val="20"/>
              </w:rPr>
              <w:t>9</w:t>
            </w:r>
            <w:r w:rsidRPr="00107D29">
              <w:rPr>
                <w:rFonts w:ascii="Noto Sans" w:hAnsi="Noto Sans" w:cs="Noto Sans"/>
                <w:sz w:val="20"/>
                <w:szCs w:val="20"/>
              </w:rPr>
              <w:t>.</w:t>
            </w:r>
            <w:r w:rsidR="0084672B" w:rsidRPr="00107D29">
              <w:rPr>
                <w:rFonts w:ascii="Noto Sans" w:hAnsi="Noto Sans" w:cs="Noto Sans"/>
                <w:sz w:val="20"/>
                <w:szCs w:val="20"/>
              </w:rPr>
              <w:t>34</w:t>
            </w:r>
            <w:r w:rsidRPr="00107D29">
              <w:rPr>
                <w:rFonts w:ascii="Noto Sans" w:hAnsi="Noto Sans" w:cs="Noto Sans"/>
                <w:sz w:val="20"/>
                <w:szCs w:val="20"/>
              </w:rPr>
              <w:t xml:space="preserve"> miles de pesos de recursos propios no ejercidos por el cambio de necesidades de los proyectos, y a importes menores de los que no se realiza contratación con base en el numeral 28 de las políticas, bases y lineamientos en materia de adquisiciones, arrendamientos y servicios del INECOL.</w:t>
            </w:r>
          </w:p>
        </w:tc>
      </w:tr>
      <w:bookmarkEnd w:id="1"/>
      <w:tr w:rsidR="00F97EAF" w:rsidRPr="00FE319A" w14:paraId="0C097324" w14:textId="77777777" w:rsidTr="00847320">
        <w:trPr>
          <w:trHeight w:val="2202"/>
          <w:jc w:val="center"/>
        </w:trPr>
        <w:tc>
          <w:tcPr>
            <w:tcW w:w="846" w:type="dxa"/>
            <w:noWrap/>
            <w:vAlign w:val="center"/>
          </w:tcPr>
          <w:p w14:paraId="6D38BA8A"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lastRenderedPageBreak/>
              <w:t>3500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34592F67"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de instalación, Reparación, Mantenimiento y Conservación (excepto la partida 351)</w:t>
            </w:r>
          </w:p>
        </w:tc>
        <w:tc>
          <w:tcPr>
            <w:tcW w:w="1427" w:type="dxa"/>
            <w:tcBorders>
              <w:top w:val="nil"/>
              <w:left w:val="nil"/>
              <w:bottom w:val="single" w:sz="4" w:space="0" w:color="auto"/>
              <w:right w:val="single" w:sz="4" w:space="0" w:color="auto"/>
            </w:tcBorders>
            <w:shd w:val="clear" w:color="auto" w:fill="auto"/>
            <w:noWrap/>
            <w:vAlign w:val="center"/>
          </w:tcPr>
          <w:p w14:paraId="5C7C5237"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22,841.70</w:t>
            </w:r>
          </w:p>
        </w:tc>
        <w:tc>
          <w:tcPr>
            <w:tcW w:w="1418" w:type="dxa"/>
            <w:tcBorders>
              <w:top w:val="nil"/>
              <w:left w:val="nil"/>
              <w:bottom w:val="single" w:sz="4" w:space="0" w:color="auto"/>
              <w:right w:val="single" w:sz="4" w:space="0" w:color="auto"/>
            </w:tcBorders>
            <w:shd w:val="clear" w:color="auto" w:fill="auto"/>
            <w:noWrap/>
            <w:vAlign w:val="center"/>
          </w:tcPr>
          <w:p w14:paraId="286AF2FB" w14:textId="0A04C3CB" w:rsidR="00F97EAF" w:rsidRPr="00FE319A" w:rsidRDefault="00F97EAF" w:rsidP="00847320">
            <w:pPr>
              <w:rPr>
                <w:rFonts w:ascii="Noto Sans" w:hAnsi="Noto Sans" w:cs="Noto Sans"/>
                <w:sz w:val="20"/>
                <w:szCs w:val="20"/>
              </w:rPr>
            </w:pPr>
            <w:r w:rsidRPr="00FE319A">
              <w:rPr>
                <w:rFonts w:ascii="Noto Sans" w:hAnsi="Noto Sans" w:cs="Noto Sans"/>
                <w:sz w:val="20"/>
                <w:szCs w:val="20"/>
              </w:rPr>
              <w:t>19,514.16</w:t>
            </w:r>
          </w:p>
        </w:tc>
        <w:tc>
          <w:tcPr>
            <w:tcW w:w="1134" w:type="dxa"/>
            <w:tcBorders>
              <w:top w:val="nil"/>
              <w:left w:val="nil"/>
              <w:bottom w:val="single" w:sz="4" w:space="0" w:color="auto"/>
              <w:right w:val="single" w:sz="4" w:space="0" w:color="auto"/>
            </w:tcBorders>
            <w:shd w:val="clear" w:color="auto" w:fill="auto"/>
            <w:noWrap/>
            <w:vAlign w:val="center"/>
          </w:tcPr>
          <w:p w14:paraId="29F84959" w14:textId="756AF2CD" w:rsidR="00F97EAF" w:rsidRPr="00FE319A" w:rsidRDefault="00FF4B05" w:rsidP="00847320">
            <w:pPr>
              <w:rPr>
                <w:rFonts w:ascii="Noto Sans" w:hAnsi="Noto Sans" w:cs="Noto Sans"/>
                <w:sz w:val="20"/>
                <w:szCs w:val="20"/>
              </w:rPr>
            </w:pPr>
            <w:r w:rsidRPr="00FE319A">
              <w:rPr>
                <w:rFonts w:ascii="Noto Sans" w:hAnsi="Noto Sans" w:cs="Noto Sans"/>
                <w:sz w:val="20"/>
                <w:szCs w:val="20"/>
              </w:rPr>
              <w:t>3</w:t>
            </w:r>
            <w:r w:rsidR="0084672B">
              <w:rPr>
                <w:rFonts w:ascii="Noto Sans" w:hAnsi="Noto Sans" w:cs="Noto Sans"/>
                <w:sz w:val="20"/>
                <w:szCs w:val="20"/>
              </w:rPr>
              <w:t>,</w:t>
            </w:r>
            <w:r w:rsidRPr="00FE319A">
              <w:rPr>
                <w:rFonts w:ascii="Noto Sans" w:hAnsi="Noto Sans" w:cs="Noto Sans"/>
                <w:sz w:val="20"/>
                <w:szCs w:val="20"/>
              </w:rPr>
              <w:t>327.54</w:t>
            </w:r>
          </w:p>
        </w:tc>
        <w:tc>
          <w:tcPr>
            <w:tcW w:w="3738" w:type="dxa"/>
            <w:noWrap/>
            <w:vAlign w:val="center"/>
          </w:tcPr>
          <w:p w14:paraId="35229DB8" w14:textId="57AB6D54" w:rsidR="00F97EAF" w:rsidRPr="00FE319A" w:rsidRDefault="00F97EAF" w:rsidP="00847320">
            <w:pPr>
              <w:rPr>
                <w:rFonts w:ascii="Noto Sans" w:hAnsi="Noto Sans" w:cs="Noto Sans"/>
                <w:sz w:val="20"/>
                <w:szCs w:val="20"/>
              </w:rPr>
            </w:pPr>
            <w:r w:rsidRPr="00FE319A">
              <w:rPr>
                <w:rFonts w:ascii="Noto Sans" w:hAnsi="Noto Sans" w:cs="Noto Sans"/>
                <w:sz w:val="20"/>
                <w:szCs w:val="20"/>
              </w:rPr>
              <w:t xml:space="preserve">La variación por un importe de </w:t>
            </w:r>
            <w:r w:rsidR="00FF4B05" w:rsidRPr="00107D29">
              <w:rPr>
                <w:rFonts w:ascii="Noto Sans" w:hAnsi="Noto Sans" w:cs="Noto Sans"/>
                <w:sz w:val="20"/>
                <w:szCs w:val="20"/>
              </w:rPr>
              <w:t>3,327.54</w:t>
            </w:r>
            <w:r w:rsidRPr="00107D29">
              <w:rPr>
                <w:rFonts w:ascii="Noto Sans" w:hAnsi="Noto Sans" w:cs="Noto Sans"/>
                <w:sz w:val="20"/>
                <w:szCs w:val="20"/>
              </w:rPr>
              <w:t xml:space="preserve"> miles de pesos corresponden </w:t>
            </w:r>
            <w:r w:rsidR="0084672B" w:rsidRPr="00107D29">
              <w:rPr>
                <w:rFonts w:ascii="Noto Sans" w:hAnsi="Noto Sans" w:cs="Noto Sans"/>
                <w:sz w:val="20"/>
                <w:szCs w:val="20"/>
              </w:rPr>
              <w:t>1,2</w:t>
            </w:r>
            <w:r w:rsidRPr="00107D29">
              <w:rPr>
                <w:rFonts w:ascii="Noto Sans" w:hAnsi="Noto Sans" w:cs="Noto Sans"/>
                <w:sz w:val="20"/>
                <w:szCs w:val="20"/>
              </w:rPr>
              <w:t>96.</w:t>
            </w:r>
            <w:r w:rsidR="0084672B" w:rsidRPr="00107D29">
              <w:rPr>
                <w:rFonts w:ascii="Noto Sans" w:hAnsi="Noto Sans" w:cs="Noto Sans"/>
                <w:sz w:val="20"/>
                <w:szCs w:val="20"/>
              </w:rPr>
              <w:t>5</w:t>
            </w:r>
            <w:r w:rsidRPr="00107D29">
              <w:rPr>
                <w:rFonts w:ascii="Noto Sans" w:hAnsi="Noto Sans" w:cs="Noto Sans"/>
                <w:sz w:val="20"/>
                <w:szCs w:val="20"/>
              </w:rPr>
              <w:t xml:space="preserve">7 pago de servicios de lavandería, higiene, conservación de inmuebles y jardinería entre otros, y </w:t>
            </w:r>
            <w:r w:rsidR="0084672B" w:rsidRPr="00107D29">
              <w:rPr>
                <w:rFonts w:ascii="Noto Sans" w:hAnsi="Noto Sans" w:cs="Noto Sans"/>
                <w:sz w:val="20"/>
                <w:szCs w:val="20"/>
              </w:rPr>
              <w:t>2</w:t>
            </w:r>
            <w:r w:rsidRPr="00107D29">
              <w:rPr>
                <w:rFonts w:ascii="Noto Sans" w:hAnsi="Noto Sans" w:cs="Noto Sans"/>
                <w:sz w:val="20"/>
                <w:szCs w:val="20"/>
              </w:rPr>
              <w:t>,</w:t>
            </w:r>
            <w:r w:rsidR="0084672B" w:rsidRPr="00107D29">
              <w:rPr>
                <w:rFonts w:ascii="Noto Sans" w:hAnsi="Noto Sans" w:cs="Noto Sans"/>
                <w:sz w:val="20"/>
                <w:szCs w:val="20"/>
              </w:rPr>
              <w:t>030</w:t>
            </w:r>
            <w:r w:rsidRPr="00107D29">
              <w:rPr>
                <w:rFonts w:ascii="Noto Sans" w:hAnsi="Noto Sans" w:cs="Noto Sans"/>
                <w:sz w:val="20"/>
                <w:szCs w:val="20"/>
              </w:rPr>
              <w:t>.</w:t>
            </w:r>
            <w:r w:rsidR="0084672B" w:rsidRPr="00107D29">
              <w:rPr>
                <w:rFonts w:ascii="Noto Sans" w:hAnsi="Noto Sans" w:cs="Noto Sans"/>
                <w:sz w:val="20"/>
                <w:szCs w:val="20"/>
              </w:rPr>
              <w:t>97</w:t>
            </w:r>
            <w:r w:rsidRPr="00107D29">
              <w:rPr>
                <w:rFonts w:ascii="Noto Sans" w:hAnsi="Noto Sans" w:cs="Noto Sans"/>
                <w:sz w:val="20"/>
                <w:szCs w:val="20"/>
              </w:rPr>
              <w:t xml:space="preserve"> miles de pesos de recursos propios no ejercidos por el cambio de necesidades de los proyectos, y a importes menores de los que no se realiza contratación con base en el numeral 28 de las políticas, bases y lineamientos en materia de adquisiciones, arrendamientos y servicios del INECOL.</w:t>
            </w:r>
          </w:p>
        </w:tc>
      </w:tr>
      <w:tr w:rsidR="00F97EAF" w:rsidRPr="00FE319A" w14:paraId="2872DE61" w14:textId="77777777" w:rsidTr="00847320">
        <w:trPr>
          <w:trHeight w:val="672"/>
          <w:jc w:val="center"/>
        </w:trPr>
        <w:tc>
          <w:tcPr>
            <w:tcW w:w="846" w:type="dxa"/>
            <w:noWrap/>
            <w:vAlign w:val="center"/>
          </w:tcPr>
          <w:p w14:paraId="6192D0A4"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3700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585B15FE"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de Traslado y Viáticos (excepto las partidas de la 375 a la 379)</w:t>
            </w:r>
          </w:p>
        </w:tc>
        <w:tc>
          <w:tcPr>
            <w:tcW w:w="1427" w:type="dxa"/>
            <w:tcBorders>
              <w:top w:val="nil"/>
              <w:left w:val="nil"/>
              <w:bottom w:val="single" w:sz="4" w:space="0" w:color="auto"/>
              <w:right w:val="single" w:sz="4" w:space="0" w:color="auto"/>
            </w:tcBorders>
            <w:shd w:val="clear" w:color="auto" w:fill="auto"/>
            <w:noWrap/>
            <w:vAlign w:val="center"/>
          </w:tcPr>
          <w:p w14:paraId="39679920"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2,579.35</w:t>
            </w:r>
          </w:p>
        </w:tc>
        <w:tc>
          <w:tcPr>
            <w:tcW w:w="1418" w:type="dxa"/>
            <w:tcBorders>
              <w:top w:val="nil"/>
              <w:left w:val="nil"/>
              <w:bottom w:val="single" w:sz="4" w:space="0" w:color="auto"/>
              <w:right w:val="single" w:sz="4" w:space="0" w:color="auto"/>
            </w:tcBorders>
            <w:shd w:val="clear" w:color="auto" w:fill="auto"/>
            <w:noWrap/>
            <w:vAlign w:val="center"/>
          </w:tcPr>
          <w:p w14:paraId="566A3106" w14:textId="73D800A2" w:rsidR="00F97EAF" w:rsidRPr="00FE319A" w:rsidRDefault="00F97EAF" w:rsidP="00847320">
            <w:pPr>
              <w:rPr>
                <w:rFonts w:ascii="Noto Sans" w:hAnsi="Noto Sans" w:cs="Noto Sans"/>
                <w:sz w:val="20"/>
                <w:szCs w:val="20"/>
              </w:rPr>
            </w:pPr>
            <w:r w:rsidRPr="00FE319A">
              <w:rPr>
                <w:rFonts w:ascii="Noto Sans" w:hAnsi="Noto Sans" w:cs="Noto Sans"/>
                <w:sz w:val="20"/>
                <w:szCs w:val="20"/>
              </w:rPr>
              <w:t>1,357.31</w:t>
            </w:r>
          </w:p>
        </w:tc>
        <w:tc>
          <w:tcPr>
            <w:tcW w:w="1134" w:type="dxa"/>
            <w:tcBorders>
              <w:top w:val="nil"/>
              <w:left w:val="nil"/>
              <w:bottom w:val="single" w:sz="4" w:space="0" w:color="auto"/>
              <w:right w:val="single" w:sz="4" w:space="0" w:color="auto"/>
            </w:tcBorders>
            <w:shd w:val="clear" w:color="auto" w:fill="auto"/>
            <w:noWrap/>
            <w:vAlign w:val="center"/>
          </w:tcPr>
          <w:p w14:paraId="42E78933" w14:textId="4A6D804A" w:rsidR="00F97EAF" w:rsidRPr="00FE319A" w:rsidRDefault="00DF572C" w:rsidP="00847320">
            <w:pPr>
              <w:rPr>
                <w:rFonts w:ascii="Noto Sans" w:hAnsi="Noto Sans" w:cs="Noto Sans"/>
                <w:sz w:val="20"/>
                <w:szCs w:val="20"/>
              </w:rPr>
            </w:pPr>
            <w:r w:rsidRPr="00FE319A">
              <w:rPr>
                <w:rFonts w:ascii="Noto Sans" w:hAnsi="Noto Sans" w:cs="Noto Sans"/>
                <w:sz w:val="20"/>
                <w:szCs w:val="20"/>
              </w:rPr>
              <w:t>1,222.04</w:t>
            </w:r>
          </w:p>
        </w:tc>
        <w:tc>
          <w:tcPr>
            <w:tcW w:w="3738" w:type="dxa"/>
            <w:noWrap/>
            <w:vAlign w:val="center"/>
          </w:tcPr>
          <w:p w14:paraId="47873115" w14:textId="134D3F89" w:rsidR="00F97EAF" w:rsidRPr="00FE319A" w:rsidRDefault="00F97EAF" w:rsidP="00847320">
            <w:pPr>
              <w:rPr>
                <w:rFonts w:ascii="Noto Sans" w:hAnsi="Noto Sans" w:cs="Noto Sans"/>
                <w:sz w:val="20"/>
                <w:szCs w:val="20"/>
              </w:rPr>
            </w:pPr>
            <w:r w:rsidRPr="00FE319A">
              <w:rPr>
                <w:rFonts w:ascii="Noto Sans" w:hAnsi="Noto Sans" w:cs="Noto Sans"/>
                <w:sz w:val="20"/>
                <w:szCs w:val="20"/>
              </w:rPr>
              <w:t>La variación por un importe de 1,</w:t>
            </w:r>
            <w:r w:rsidR="00B3011A" w:rsidRPr="00FE319A">
              <w:rPr>
                <w:rFonts w:ascii="Noto Sans" w:hAnsi="Noto Sans" w:cs="Noto Sans"/>
                <w:sz w:val="20"/>
                <w:szCs w:val="20"/>
              </w:rPr>
              <w:t>222.04</w:t>
            </w:r>
            <w:r w:rsidRPr="00FE319A">
              <w:rPr>
                <w:rFonts w:ascii="Noto Sans" w:hAnsi="Noto Sans" w:cs="Noto Sans"/>
                <w:sz w:val="20"/>
                <w:szCs w:val="20"/>
              </w:rPr>
              <w:t xml:space="preserve"> miles de pesos corresponden 1,0</w:t>
            </w:r>
            <w:r w:rsidR="00B3011A" w:rsidRPr="00FE319A">
              <w:rPr>
                <w:rFonts w:ascii="Noto Sans" w:hAnsi="Noto Sans" w:cs="Noto Sans"/>
                <w:sz w:val="20"/>
                <w:szCs w:val="20"/>
              </w:rPr>
              <w:t>52.09</w:t>
            </w:r>
            <w:r w:rsidRPr="00FE319A">
              <w:rPr>
                <w:rFonts w:ascii="Noto Sans" w:hAnsi="Noto Sans" w:cs="Noto Sans"/>
                <w:sz w:val="20"/>
                <w:szCs w:val="20"/>
              </w:rPr>
              <w:t xml:space="preserve"> miles de pesos por reembolsos de comprobaciones por viáticos y </w:t>
            </w:r>
            <w:r w:rsidR="00B3011A" w:rsidRPr="00FE319A">
              <w:rPr>
                <w:rFonts w:ascii="Noto Sans" w:hAnsi="Noto Sans" w:cs="Noto Sans"/>
                <w:sz w:val="20"/>
                <w:szCs w:val="20"/>
              </w:rPr>
              <w:t>169.95</w:t>
            </w:r>
            <w:r w:rsidRPr="00FE319A">
              <w:rPr>
                <w:rFonts w:ascii="Noto Sans" w:hAnsi="Noto Sans" w:cs="Noto Sans"/>
                <w:sz w:val="20"/>
                <w:szCs w:val="20"/>
              </w:rPr>
              <w:t xml:space="preserve"> a Recursos Propios no ejercidos por cambio de necesidades de los proyectos.</w:t>
            </w:r>
          </w:p>
        </w:tc>
      </w:tr>
      <w:tr w:rsidR="00F97EAF" w:rsidRPr="00FE319A" w14:paraId="20166BE0" w14:textId="77777777" w:rsidTr="00847320">
        <w:trPr>
          <w:trHeight w:val="894"/>
          <w:jc w:val="center"/>
        </w:trPr>
        <w:tc>
          <w:tcPr>
            <w:tcW w:w="846" w:type="dxa"/>
            <w:noWrap/>
            <w:vAlign w:val="center"/>
          </w:tcPr>
          <w:p w14:paraId="59C9EA5B"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3800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32308AF6"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Servicios Oficiales</w:t>
            </w:r>
          </w:p>
        </w:tc>
        <w:tc>
          <w:tcPr>
            <w:tcW w:w="1427" w:type="dxa"/>
            <w:tcBorders>
              <w:top w:val="nil"/>
              <w:left w:val="nil"/>
              <w:bottom w:val="single" w:sz="4" w:space="0" w:color="auto"/>
              <w:right w:val="single" w:sz="4" w:space="0" w:color="auto"/>
            </w:tcBorders>
            <w:shd w:val="clear" w:color="auto" w:fill="auto"/>
            <w:noWrap/>
            <w:vAlign w:val="center"/>
          </w:tcPr>
          <w:p w14:paraId="0B4FDA69" w14:textId="77777777" w:rsidR="00F97EAF" w:rsidRPr="00FE319A" w:rsidRDefault="00F97EAF" w:rsidP="00847320">
            <w:pPr>
              <w:rPr>
                <w:rFonts w:ascii="Noto Sans" w:hAnsi="Noto Sans" w:cs="Noto Sans"/>
                <w:sz w:val="20"/>
                <w:szCs w:val="20"/>
              </w:rPr>
            </w:pPr>
            <w:r w:rsidRPr="00FE319A">
              <w:rPr>
                <w:rFonts w:ascii="Noto Sans" w:hAnsi="Noto Sans" w:cs="Noto Sans"/>
                <w:sz w:val="20"/>
                <w:szCs w:val="20"/>
              </w:rPr>
              <w:t>510.43</w:t>
            </w:r>
          </w:p>
        </w:tc>
        <w:tc>
          <w:tcPr>
            <w:tcW w:w="1418" w:type="dxa"/>
            <w:tcBorders>
              <w:top w:val="nil"/>
              <w:left w:val="nil"/>
              <w:bottom w:val="single" w:sz="4" w:space="0" w:color="auto"/>
              <w:right w:val="single" w:sz="4" w:space="0" w:color="auto"/>
            </w:tcBorders>
            <w:shd w:val="clear" w:color="auto" w:fill="auto"/>
            <w:noWrap/>
            <w:vAlign w:val="center"/>
          </w:tcPr>
          <w:p w14:paraId="117A95DC" w14:textId="3EE3D4BB" w:rsidR="00F97EAF" w:rsidRPr="00FE319A" w:rsidRDefault="00F97EAF" w:rsidP="00847320">
            <w:pPr>
              <w:rPr>
                <w:rFonts w:ascii="Noto Sans" w:hAnsi="Noto Sans" w:cs="Noto Sans"/>
                <w:sz w:val="20"/>
                <w:szCs w:val="20"/>
              </w:rPr>
            </w:pPr>
            <w:r w:rsidRPr="00FE319A">
              <w:rPr>
                <w:rFonts w:ascii="Noto Sans" w:hAnsi="Noto Sans" w:cs="Noto Sans"/>
                <w:sz w:val="20"/>
                <w:szCs w:val="20"/>
              </w:rPr>
              <w:t>241.46</w:t>
            </w:r>
          </w:p>
        </w:tc>
        <w:tc>
          <w:tcPr>
            <w:tcW w:w="1134" w:type="dxa"/>
            <w:tcBorders>
              <w:top w:val="nil"/>
              <w:left w:val="nil"/>
              <w:bottom w:val="single" w:sz="4" w:space="0" w:color="auto"/>
              <w:right w:val="single" w:sz="4" w:space="0" w:color="auto"/>
            </w:tcBorders>
            <w:shd w:val="clear" w:color="auto" w:fill="auto"/>
            <w:noWrap/>
            <w:vAlign w:val="center"/>
          </w:tcPr>
          <w:p w14:paraId="26D3D6BD" w14:textId="058E8C5E" w:rsidR="00F97EAF" w:rsidRPr="00FE319A" w:rsidRDefault="00DF572C" w:rsidP="00847320">
            <w:pPr>
              <w:rPr>
                <w:rFonts w:ascii="Noto Sans" w:hAnsi="Noto Sans" w:cs="Noto Sans"/>
                <w:sz w:val="20"/>
                <w:szCs w:val="20"/>
              </w:rPr>
            </w:pPr>
            <w:r w:rsidRPr="00FE319A">
              <w:rPr>
                <w:rFonts w:ascii="Noto Sans" w:hAnsi="Noto Sans" w:cs="Noto Sans"/>
                <w:sz w:val="20"/>
                <w:szCs w:val="20"/>
              </w:rPr>
              <w:t>268.97</w:t>
            </w:r>
          </w:p>
        </w:tc>
        <w:tc>
          <w:tcPr>
            <w:tcW w:w="3738" w:type="dxa"/>
            <w:noWrap/>
            <w:vAlign w:val="center"/>
          </w:tcPr>
          <w:p w14:paraId="27E1E4E2" w14:textId="109BA1E2" w:rsidR="00F97EAF" w:rsidRPr="00FE319A" w:rsidRDefault="00F97EAF" w:rsidP="00847320">
            <w:pPr>
              <w:rPr>
                <w:rFonts w:ascii="Noto Sans" w:hAnsi="Noto Sans" w:cs="Noto Sans"/>
                <w:sz w:val="20"/>
                <w:szCs w:val="20"/>
              </w:rPr>
            </w:pPr>
            <w:r w:rsidRPr="00107D29">
              <w:rPr>
                <w:rFonts w:ascii="Noto Sans" w:hAnsi="Noto Sans" w:cs="Noto Sans"/>
                <w:sz w:val="20"/>
                <w:szCs w:val="20"/>
              </w:rPr>
              <w:t xml:space="preserve">El importe de </w:t>
            </w:r>
            <w:r w:rsidR="00DF572C" w:rsidRPr="00107D29">
              <w:rPr>
                <w:rFonts w:ascii="Noto Sans" w:hAnsi="Noto Sans" w:cs="Noto Sans"/>
                <w:sz w:val="20"/>
                <w:szCs w:val="20"/>
              </w:rPr>
              <w:t>268.97</w:t>
            </w:r>
            <w:r w:rsidRPr="00107D29">
              <w:rPr>
                <w:rFonts w:ascii="Noto Sans" w:hAnsi="Noto Sans" w:cs="Noto Sans"/>
                <w:sz w:val="20"/>
                <w:szCs w:val="20"/>
              </w:rPr>
              <w:t xml:space="preserve"> miles de pesos corresponden a </w:t>
            </w:r>
            <w:r w:rsidR="001D16C8" w:rsidRPr="00107D29">
              <w:rPr>
                <w:rFonts w:eastAsia="MS Mincho"/>
                <w:szCs w:val="18"/>
                <w:lang w:eastAsia="es-ES"/>
              </w:rPr>
              <w:t xml:space="preserve">corresponden </w:t>
            </w:r>
            <w:r w:rsidR="0084672B" w:rsidRPr="00107D29">
              <w:rPr>
                <w:rFonts w:eastAsia="MS Mincho"/>
                <w:szCs w:val="18"/>
                <w:lang w:eastAsia="es-ES"/>
              </w:rPr>
              <w:t>253</w:t>
            </w:r>
            <w:r w:rsidR="001D16C8" w:rsidRPr="00107D29">
              <w:rPr>
                <w:rFonts w:eastAsia="MS Mincho"/>
                <w:szCs w:val="18"/>
                <w:lang w:eastAsia="es-ES"/>
              </w:rPr>
              <w:t>.</w:t>
            </w:r>
            <w:r w:rsidR="0084672B" w:rsidRPr="00107D29">
              <w:rPr>
                <w:rFonts w:eastAsia="MS Mincho"/>
                <w:szCs w:val="18"/>
                <w:lang w:eastAsia="es-ES"/>
              </w:rPr>
              <w:t>10</w:t>
            </w:r>
            <w:r w:rsidR="001D16C8" w:rsidRPr="00107D29">
              <w:rPr>
                <w:rFonts w:eastAsia="MS Mincho"/>
                <w:szCs w:val="18"/>
                <w:lang w:eastAsia="es-ES"/>
              </w:rPr>
              <w:t xml:space="preserve"> miles de pesos a inscripciones a congresos y </w:t>
            </w:r>
            <w:r w:rsidR="0084672B" w:rsidRPr="00107D29">
              <w:rPr>
                <w:rFonts w:eastAsia="MS Mincho"/>
                <w:szCs w:val="18"/>
                <w:lang w:eastAsia="es-ES"/>
              </w:rPr>
              <w:t>15.87</w:t>
            </w:r>
            <w:r w:rsidR="001D16C8" w:rsidRPr="00107D29">
              <w:rPr>
                <w:rFonts w:eastAsia="MS Mincho"/>
                <w:szCs w:val="18"/>
                <w:lang w:eastAsia="es-ES"/>
              </w:rPr>
              <w:t xml:space="preserve"> miles de pesos corresponden a Recursos Propios no ejercidos por cambio de necesidades </w:t>
            </w:r>
            <w:r w:rsidR="001D16C8" w:rsidRPr="00145723">
              <w:rPr>
                <w:rFonts w:eastAsia="MS Mincho"/>
                <w:szCs w:val="18"/>
                <w:lang w:eastAsia="es-ES"/>
              </w:rPr>
              <w:t xml:space="preserve">de los proyectos. </w:t>
            </w:r>
            <w:r w:rsidRPr="001D16C8">
              <w:rPr>
                <w:rFonts w:ascii="Noto Sans" w:hAnsi="Noto Sans" w:cs="Noto Sans"/>
                <w:color w:val="FF0000"/>
                <w:sz w:val="20"/>
                <w:szCs w:val="20"/>
              </w:rPr>
              <w:t xml:space="preserve"> </w:t>
            </w:r>
          </w:p>
        </w:tc>
      </w:tr>
      <w:tr w:rsidR="00347322" w:rsidRPr="00FE319A" w14:paraId="0443EC17" w14:textId="77777777" w:rsidTr="00847320">
        <w:trPr>
          <w:trHeight w:val="894"/>
          <w:jc w:val="center"/>
        </w:trPr>
        <w:tc>
          <w:tcPr>
            <w:tcW w:w="846" w:type="dxa"/>
            <w:noWrap/>
            <w:vAlign w:val="center"/>
          </w:tcPr>
          <w:p w14:paraId="17352594" w14:textId="77777777" w:rsidR="00347322" w:rsidRPr="00FE319A" w:rsidRDefault="00347322" w:rsidP="00347322">
            <w:pPr>
              <w:rPr>
                <w:rFonts w:ascii="Noto Sans" w:hAnsi="Noto Sans" w:cs="Noto Sans"/>
                <w:sz w:val="20"/>
                <w:szCs w:val="20"/>
              </w:rPr>
            </w:pPr>
            <w:r w:rsidRPr="00FE319A">
              <w:rPr>
                <w:rFonts w:ascii="Noto Sans" w:hAnsi="Noto Sans" w:cs="Noto Sans"/>
                <w:sz w:val="20"/>
                <w:szCs w:val="20"/>
              </w:rPr>
              <w:t>5200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6CEF50E4" w14:textId="77777777" w:rsidR="00347322" w:rsidRPr="00FE319A" w:rsidRDefault="00347322" w:rsidP="00347322">
            <w:pPr>
              <w:rPr>
                <w:rFonts w:ascii="Noto Sans" w:hAnsi="Noto Sans" w:cs="Noto Sans"/>
                <w:sz w:val="20"/>
                <w:szCs w:val="20"/>
              </w:rPr>
            </w:pPr>
            <w:r w:rsidRPr="00FE319A">
              <w:rPr>
                <w:rFonts w:ascii="Noto Sans" w:hAnsi="Noto Sans" w:cs="Noto Sans"/>
                <w:sz w:val="20"/>
                <w:szCs w:val="20"/>
              </w:rPr>
              <w:t>Maquinaria y Equipo Agropecuario, Industrial, de Comunicaciones y de Uso Informático.</w:t>
            </w:r>
          </w:p>
        </w:tc>
        <w:tc>
          <w:tcPr>
            <w:tcW w:w="1427" w:type="dxa"/>
            <w:tcBorders>
              <w:top w:val="nil"/>
              <w:left w:val="nil"/>
              <w:bottom w:val="single" w:sz="4" w:space="0" w:color="auto"/>
              <w:right w:val="single" w:sz="4" w:space="0" w:color="auto"/>
            </w:tcBorders>
            <w:shd w:val="clear" w:color="auto" w:fill="auto"/>
            <w:noWrap/>
            <w:vAlign w:val="center"/>
          </w:tcPr>
          <w:p w14:paraId="33FF2886" w14:textId="77777777" w:rsidR="00347322" w:rsidRPr="00FE319A" w:rsidRDefault="00347322" w:rsidP="00347322">
            <w:pPr>
              <w:rPr>
                <w:rFonts w:ascii="Noto Sans" w:hAnsi="Noto Sans" w:cs="Noto Sans"/>
                <w:sz w:val="20"/>
                <w:szCs w:val="20"/>
              </w:rPr>
            </w:pPr>
            <w:r w:rsidRPr="00FE319A">
              <w:rPr>
                <w:rFonts w:ascii="Noto Sans" w:hAnsi="Noto Sans" w:cs="Noto Sans"/>
                <w:sz w:val="20"/>
                <w:szCs w:val="20"/>
              </w:rPr>
              <w:t>553.41</w:t>
            </w:r>
          </w:p>
        </w:tc>
        <w:tc>
          <w:tcPr>
            <w:tcW w:w="1418" w:type="dxa"/>
            <w:tcBorders>
              <w:top w:val="nil"/>
              <w:left w:val="nil"/>
              <w:bottom w:val="single" w:sz="4" w:space="0" w:color="auto"/>
              <w:right w:val="single" w:sz="4" w:space="0" w:color="auto"/>
            </w:tcBorders>
            <w:shd w:val="clear" w:color="auto" w:fill="auto"/>
            <w:noWrap/>
            <w:vAlign w:val="center"/>
          </w:tcPr>
          <w:p w14:paraId="5EC27385" w14:textId="2BBD8C42" w:rsidR="00347322" w:rsidRPr="00FE319A" w:rsidRDefault="00347322" w:rsidP="00347322">
            <w:pPr>
              <w:rPr>
                <w:rFonts w:ascii="Noto Sans" w:hAnsi="Noto Sans" w:cs="Noto Sans"/>
                <w:sz w:val="20"/>
                <w:szCs w:val="20"/>
              </w:rPr>
            </w:pPr>
            <w:r w:rsidRPr="00FE319A">
              <w:rPr>
                <w:rFonts w:ascii="Noto Sans" w:hAnsi="Noto Sans" w:cs="Noto Sans"/>
                <w:sz w:val="20"/>
                <w:szCs w:val="20"/>
              </w:rPr>
              <w:t>208.79</w:t>
            </w:r>
          </w:p>
        </w:tc>
        <w:tc>
          <w:tcPr>
            <w:tcW w:w="1134" w:type="dxa"/>
            <w:tcBorders>
              <w:top w:val="nil"/>
              <w:left w:val="nil"/>
              <w:bottom w:val="single" w:sz="4" w:space="0" w:color="auto"/>
              <w:right w:val="single" w:sz="4" w:space="0" w:color="auto"/>
            </w:tcBorders>
            <w:shd w:val="clear" w:color="auto" w:fill="auto"/>
            <w:noWrap/>
            <w:vAlign w:val="center"/>
          </w:tcPr>
          <w:p w14:paraId="64D6A329" w14:textId="75DB9AA5" w:rsidR="00347322" w:rsidRPr="00FE319A" w:rsidRDefault="00347322" w:rsidP="00347322">
            <w:pPr>
              <w:rPr>
                <w:rFonts w:ascii="Noto Sans" w:hAnsi="Noto Sans" w:cs="Noto Sans"/>
                <w:sz w:val="20"/>
                <w:szCs w:val="20"/>
              </w:rPr>
            </w:pPr>
            <w:r w:rsidRPr="00FE319A">
              <w:rPr>
                <w:rFonts w:ascii="Noto Sans" w:hAnsi="Noto Sans" w:cs="Noto Sans"/>
                <w:sz w:val="20"/>
                <w:szCs w:val="20"/>
              </w:rPr>
              <w:t>344.62</w:t>
            </w:r>
          </w:p>
        </w:tc>
        <w:tc>
          <w:tcPr>
            <w:tcW w:w="3738" w:type="dxa"/>
            <w:noWrap/>
            <w:vAlign w:val="center"/>
          </w:tcPr>
          <w:p w14:paraId="193E40AD" w14:textId="7637C308" w:rsidR="00347322" w:rsidRPr="00FE319A" w:rsidRDefault="00347322" w:rsidP="00347322">
            <w:pPr>
              <w:rPr>
                <w:rFonts w:ascii="Noto Sans" w:hAnsi="Noto Sans" w:cs="Noto Sans"/>
                <w:sz w:val="20"/>
                <w:szCs w:val="20"/>
              </w:rPr>
            </w:pPr>
            <w:r w:rsidRPr="00FE319A">
              <w:rPr>
                <w:rFonts w:ascii="Noto Sans" w:hAnsi="Noto Sans" w:cs="Noto Sans"/>
                <w:sz w:val="20"/>
                <w:szCs w:val="20"/>
              </w:rPr>
              <w:t>La variación por 344.62 miles de pesos corresponden a Recursos Propios no ejercidos por falta de autorización de la Coordinación de Estrategia Digital Nacional.</w:t>
            </w:r>
          </w:p>
        </w:tc>
      </w:tr>
      <w:tr w:rsidR="003D10C5" w:rsidRPr="00FE319A" w14:paraId="4B1B38C6" w14:textId="77777777" w:rsidTr="00847320">
        <w:trPr>
          <w:trHeight w:val="1191"/>
          <w:jc w:val="center"/>
        </w:trPr>
        <w:tc>
          <w:tcPr>
            <w:tcW w:w="846" w:type="dxa"/>
            <w:noWrap/>
            <w:vAlign w:val="center"/>
          </w:tcPr>
          <w:p w14:paraId="3CC4ED85" w14:textId="77777777" w:rsidR="003D10C5" w:rsidRPr="00FE319A" w:rsidRDefault="003D10C5" w:rsidP="003D10C5">
            <w:pPr>
              <w:rPr>
                <w:rFonts w:ascii="Noto Sans" w:hAnsi="Noto Sans" w:cs="Noto Sans"/>
                <w:sz w:val="20"/>
                <w:szCs w:val="20"/>
              </w:rPr>
            </w:pPr>
            <w:r w:rsidRPr="00FE319A">
              <w:rPr>
                <w:rFonts w:ascii="Noto Sans" w:hAnsi="Noto Sans" w:cs="Noto Sans"/>
                <w:sz w:val="20"/>
                <w:szCs w:val="20"/>
              </w:rPr>
              <w:lastRenderedPageBreak/>
              <w:t>5300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69D8E5E0" w14:textId="77777777" w:rsidR="003D10C5" w:rsidRPr="00FE319A" w:rsidRDefault="003D10C5" w:rsidP="003D10C5">
            <w:pPr>
              <w:rPr>
                <w:rFonts w:ascii="Noto Sans" w:hAnsi="Noto Sans" w:cs="Noto Sans"/>
                <w:sz w:val="20"/>
                <w:szCs w:val="20"/>
              </w:rPr>
            </w:pPr>
            <w:r w:rsidRPr="00FE319A">
              <w:rPr>
                <w:rFonts w:ascii="Noto Sans" w:hAnsi="Noto Sans" w:cs="Noto Sans"/>
                <w:sz w:val="20"/>
                <w:szCs w:val="20"/>
              </w:rPr>
              <w:t>Equipo Instrumental Médico y de Laboratorio</w:t>
            </w:r>
          </w:p>
        </w:tc>
        <w:tc>
          <w:tcPr>
            <w:tcW w:w="1427" w:type="dxa"/>
            <w:tcBorders>
              <w:top w:val="nil"/>
              <w:left w:val="nil"/>
              <w:bottom w:val="single" w:sz="4" w:space="0" w:color="auto"/>
              <w:right w:val="single" w:sz="4" w:space="0" w:color="auto"/>
            </w:tcBorders>
            <w:shd w:val="clear" w:color="auto" w:fill="auto"/>
            <w:noWrap/>
            <w:vAlign w:val="center"/>
          </w:tcPr>
          <w:p w14:paraId="40F7A50E" w14:textId="77777777" w:rsidR="003D10C5" w:rsidRPr="00FE319A" w:rsidRDefault="003D10C5" w:rsidP="003D10C5">
            <w:pPr>
              <w:rPr>
                <w:rFonts w:ascii="Noto Sans" w:hAnsi="Noto Sans" w:cs="Noto Sans"/>
                <w:sz w:val="20"/>
                <w:szCs w:val="20"/>
              </w:rPr>
            </w:pPr>
            <w:r w:rsidRPr="00FE319A">
              <w:rPr>
                <w:rFonts w:ascii="Noto Sans" w:hAnsi="Noto Sans" w:cs="Noto Sans"/>
                <w:sz w:val="20"/>
                <w:szCs w:val="20"/>
              </w:rPr>
              <w:t>398.60</w:t>
            </w:r>
          </w:p>
        </w:tc>
        <w:tc>
          <w:tcPr>
            <w:tcW w:w="1418" w:type="dxa"/>
            <w:tcBorders>
              <w:top w:val="nil"/>
              <w:left w:val="nil"/>
              <w:bottom w:val="single" w:sz="4" w:space="0" w:color="auto"/>
              <w:right w:val="single" w:sz="4" w:space="0" w:color="auto"/>
            </w:tcBorders>
            <w:shd w:val="clear" w:color="auto" w:fill="auto"/>
            <w:noWrap/>
            <w:vAlign w:val="center"/>
          </w:tcPr>
          <w:p w14:paraId="7783EC64" w14:textId="66335E90" w:rsidR="003D10C5" w:rsidRPr="00FE319A" w:rsidRDefault="003D10C5" w:rsidP="003D10C5">
            <w:pPr>
              <w:rPr>
                <w:rFonts w:ascii="Noto Sans" w:hAnsi="Noto Sans" w:cs="Noto Sans"/>
                <w:sz w:val="20"/>
                <w:szCs w:val="20"/>
              </w:rPr>
            </w:pPr>
            <w:r w:rsidRPr="00FE319A">
              <w:rPr>
                <w:rFonts w:ascii="Noto Sans" w:hAnsi="Noto Sans" w:cs="Noto Sans"/>
                <w:sz w:val="20"/>
                <w:szCs w:val="20"/>
              </w:rPr>
              <w:t>28.49</w:t>
            </w:r>
          </w:p>
          <w:p w14:paraId="1B109E29" w14:textId="77777777" w:rsidR="003D10C5" w:rsidRPr="00FE319A" w:rsidRDefault="003D10C5" w:rsidP="003D10C5">
            <w:pPr>
              <w:rPr>
                <w:rFonts w:ascii="Noto Sans" w:hAnsi="Noto Sans" w:cs="Noto San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79038AC" w14:textId="71FE8F3C" w:rsidR="003D10C5" w:rsidRPr="00FE319A" w:rsidRDefault="003D10C5" w:rsidP="003D10C5">
            <w:pPr>
              <w:rPr>
                <w:rFonts w:ascii="Noto Sans" w:hAnsi="Noto Sans" w:cs="Noto Sans"/>
                <w:sz w:val="20"/>
                <w:szCs w:val="20"/>
              </w:rPr>
            </w:pPr>
            <w:r w:rsidRPr="00FE319A">
              <w:rPr>
                <w:rFonts w:ascii="Noto Sans" w:hAnsi="Noto Sans" w:cs="Noto Sans"/>
                <w:sz w:val="20"/>
                <w:szCs w:val="20"/>
              </w:rPr>
              <w:t>370.1</w:t>
            </w:r>
            <w:r w:rsidR="00AA2643">
              <w:rPr>
                <w:rFonts w:ascii="Noto Sans" w:hAnsi="Noto Sans" w:cs="Noto Sans"/>
                <w:sz w:val="20"/>
                <w:szCs w:val="20"/>
              </w:rPr>
              <w:t>1</w:t>
            </w:r>
          </w:p>
        </w:tc>
        <w:tc>
          <w:tcPr>
            <w:tcW w:w="3738" w:type="dxa"/>
            <w:noWrap/>
            <w:vAlign w:val="center"/>
          </w:tcPr>
          <w:p w14:paraId="22DB1E04" w14:textId="17862C10" w:rsidR="003D10C5" w:rsidRPr="00FE319A" w:rsidRDefault="003D10C5" w:rsidP="003D10C5">
            <w:pPr>
              <w:rPr>
                <w:rFonts w:ascii="Noto Sans" w:hAnsi="Noto Sans" w:cs="Noto Sans"/>
                <w:sz w:val="20"/>
                <w:szCs w:val="20"/>
              </w:rPr>
            </w:pPr>
            <w:r w:rsidRPr="00FE319A">
              <w:rPr>
                <w:rFonts w:ascii="Noto Sans" w:hAnsi="Noto Sans" w:cs="Noto Sans"/>
                <w:sz w:val="20"/>
                <w:szCs w:val="20"/>
              </w:rPr>
              <w:t>La variación por 370.1</w:t>
            </w:r>
            <w:r w:rsidR="00AA2643">
              <w:rPr>
                <w:rFonts w:ascii="Noto Sans" w:hAnsi="Noto Sans" w:cs="Noto Sans"/>
                <w:sz w:val="20"/>
                <w:szCs w:val="20"/>
              </w:rPr>
              <w:t>1</w:t>
            </w:r>
            <w:r w:rsidRPr="00FE319A">
              <w:rPr>
                <w:rFonts w:ascii="Noto Sans" w:hAnsi="Noto Sans" w:cs="Noto Sans"/>
                <w:sz w:val="20"/>
                <w:szCs w:val="20"/>
              </w:rPr>
              <w:t xml:space="preserve"> miles de pesos corresponden a Recursos Propios no ejercidos por falta de autorización de la Coordinación de Estrategia Digital Nacional.</w:t>
            </w:r>
          </w:p>
        </w:tc>
      </w:tr>
      <w:tr w:rsidR="003D10C5" w:rsidRPr="00FE319A" w14:paraId="624A544C" w14:textId="77777777" w:rsidTr="00847320">
        <w:trPr>
          <w:trHeight w:val="1191"/>
          <w:jc w:val="center"/>
        </w:trPr>
        <w:tc>
          <w:tcPr>
            <w:tcW w:w="846" w:type="dxa"/>
            <w:noWrap/>
            <w:vAlign w:val="center"/>
          </w:tcPr>
          <w:p w14:paraId="6E5DDC0B" w14:textId="77777777" w:rsidR="003D10C5" w:rsidRPr="00FE319A" w:rsidRDefault="003D10C5" w:rsidP="003D10C5">
            <w:pPr>
              <w:rPr>
                <w:rFonts w:ascii="Noto Sans" w:hAnsi="Noto Sans" w:cs="Noto Sans"/>
                <w:sz w:val="20"/>
                <w:szCs w:val="20"/>
              </w:rPr>
            </w:pPr>
            <w:r w:rsidRPr="00FE319A">
              <w:rPr>
                <w:rFonts w:ascii="Noto Sans" w:hAnsi="Noto Sans" w:cs="Noto Sans"/>
                <w:sz w:val="20"/>
                <w:szCs w:val="20"/>
              </w:rPr>
              <w:t>5600</w:t>
            </w:r>
          </w:p>
        </w:tc>
        <w:tc>
          <w:tcPr>
            <w:tcW w:w="1833" w:type="dxa"/>
            <w:tcBorders>
              <w:top w:val="nil"/>
              <w:left w:val="single" w:sz="4" w:space="0" w:color="auto"/>
              <w:bottom w:val="single" w:sz="4" w:space="0" w:color="auto"/>
              <w:right w:val="single" w:sz="4" w:space="0" w:color="auto"/>
            </w:tcBorders>
            <w:shd w:val="clear" w:color="auto" w:fill="auto"/>
            <w:noWrap/>
            <w:vAlign w:val="center"/>
          </w:tcPr>
          <w:p w14:paraId="21CF8337" w14:textId="77777777" w:rsidR="003D10C5" w:rsidRPr="00FE319A" w:rsidRDefault="003D10C5" w:rsidP="003D10C5">
            <w:pPr>
              <w:rPr>
                <w:rFonts w:ascii="Noto Sans" w:hAnsi="Noto Sans" w:cs="Noto Sans"/>
                <w:sz w:val="20"/>
                <w:szCs w:val="20"/>
              </w:rPr>
            </w:pPr>
            <w:r w:rsidRPr="00FE319A">
              <w:rPr>
                <w:rFonts w:ascii="Noto Sans" w:hAnsi="Noto Sans" w:cs="Noto Sans"/>
                <w:sz w:val="20"/>
                <w:szCs w:val="20"/>
              </w:rPr>
              <w:t>Animales de trabajo y reproducción</w:t>
            </w:r>
          </w:p>
        </w:tc>
        <w:tc>
          <w:tcPr>
            <w:tcW w:w="1427" w:type="dxa"/>
            <w:tcBorders>
              <w:top w:val="nil"/>
              <w:left w:val="nil"/>
              <w:bottom w:val="single" w:sz="4" w:space="0" w:color="auto"/>
              <w:right w:val="single" w:sz="4" w:space="0" w:color="auto"/>
            </w:tcBorders>
            <w:shd w:val="clear" w:color="auto" w:fill="auto"/>
            <w:noWrap/>
            <w:vAlign w:val="center"/>
          </w:tcPr>
          <w:p w14:paraId="30E99A24" w14:textId="77777777" w:rsidR="003D10C5" w:rsidRPr="00FE319A" w:rsidRDefault="003D10C5" w:rsidP="003D10C5">
            <w:pPr>
              <w:rPr>
                <w:rFonts w:ascii="Noto Sans" w:hAnsi="Noto Sans" w:cs="Noto Sans"/>
                <w:sz w:val="20"/>
                <w:szCs w:val="20"/>
              </w:rPr>
            </w:pPr>
            <w:r w:rsidRPr="00FE319A">
              <w:rPr>
                <w:rFonts w:ascii="Noto Sans" w:hAnsi="Noto Sans" w:cs="Noto Sans"/>
                <w:sz w:val="20"/>
                <w:szCs w:val="20"/>
              </w:rPr>
              <w:t>642.95</w:t>
            </w:r>
          </w:p>
        </w:tc>
        <w:tc>
          <w:tcPr>
            <w:tcW w:w="1418" w:type="dxa"/>
            <w:tcBorders>
              <w:top w:val="nil"/>
              <w:left w:val="nil"/>
              <w:bottom w:val="single" w:sz="4" w:space="0" w:color="auto"/>
              <w:right w:val="single" w:sz="4" w:space="0" w:color="auto"/>
            </w:tcBorders>
            <w:shd w:val="clear" w:color="auto" w:fill="auto"/>
            <w:noWrap/>
            <w:vAlign w:val="center"/>
          </w:tcPr>
          <w:p w14:paraId="0CCB23A9" w14:textId="0CFB43B9" w:rsidR="003D10C5" w:rsidRPr="00FE319A" w:rsidRDefault="003D10C5" w:rsidP="003D10C5">
            <w:pPr>
              <w:rPr>
                <w:rFonts w:ascii="Noto Sans" w:hAnsi="Noto Sans" w:cs="Noto Sans"/>
                <w:sz w:val="20"/>
                <w:szCs w:val="20"/>
              </w:rPr>
            </w:pPr>
            <w:r w:rsidRPr="00FE319A">
              <w:rPr>
                <w:rFonts w:ascii="Noto Sans" w:hAnsi="Noto Sans" w:cs="Noto Sans"/>
                <w:sz w:val="20"/>
                <w:szCs w:val="20"/>
              </w:rPr>
              <w:t>174.12</w:t>
            </w:r>
          </w:p>
        </w:tc>
        <w:tc>
          <w:tcPr>
            <w:tcW w:w="1134" w:type="dxa"/>
            <w:tcBorders>
              <w:top w:val="nil"/>
              <w:left w:val="nil"/>
              <w:bottom w:val="single" w:sz="4" w:space="0" w:color="auto"/>
              <w:right w:val="single" w:sz="4" w:space="0" w:color="auto"/>
            </w:tcBorders>
            <w:shd w:val="clear" w:color="auto" w:fill="auto"/>
            <w:noWrap/>
            <w:vAlign w:val="center"/>
          </w:tcPr>
          <w:p w14:paraId="6823AFEE" w14:textId="57CD77B5" w:rsidR="003D10C5" w:rsidRPr="00FE319A" w:rsidRDefault="003D10C5" w:rsidP="003D10C5">
            <w:pPr>
              <w:rPr>
                <w:rFonts w:ascii="Noto Sans" w:hAnsi="Noto Sans" w:cs="Noto Sans"/>
                <w:sz w:val="20"/>
                <w:szCs w:val="20"/>
              </w:rPr>
            </w:pPr>
            <w:r w:rsidRPr="00FE319A">
              <w:rPr>
                <w:rFonts w:ascii="Noto Sans" w:hAnsi="Noto Sans" w:cs="Noto Sans"/>
                <w:sz w:val="20"/>
                <w:szCs w:val="20"/>
              </w:rPr>
              <w:t>468.8</w:t>
            </w:r>
            <w:r w:rsidR="00AA2643">
              <w:rPr>
                <w:rFonts w:ascii="Noto Sans" w:hAnsi="Noto Sans" w:cs="Noto Sans"/>
                <w:sz w:val="20"/>
                <w:szCs w:val="20"/>
              </w:rPr>
              <w:t>3</w:t>
            </w:r>
          </w:p>
        </w:tc>
        <w:tc>
          <w:tcPr>
            <w:tcW w:w="3738" w:type="dxa"/>
            <w:noWrap/>
            <w:vAlign w:val="center"/>
          </w:tcPr>
          <w:p w14:paraId="3C213DBD" w14:textId="5458FF88" w:rsidR="003D10C5" w:rsidRPr="00FE319A" w:rsidRDefault="003D10C5" w:rsidP="003D10C5">
            <w:pPr>
              <w:rPr>
                <w:rFonts w:ascii="Noto Sans" w:hAnsi="Noto Sans" w:cs="Noto Sans"/>
                <w:sz w:val="20"/>
                <w:szCs w:val="20"/>
              </w:rPr>
            </w:pPr>
            <w:r w:rsidRPr="00FE319A">
              <w:rPr>
                <w:rFonts w:ascii="Noto Sans" w:hAnsi="Noto Sans" w:cs="Noto Sans"/>
                <w:sz w:val="20"/>
                <w:szCs w:val="20"/>
              </w:rPr>
              <w:t>La variación por 468.8</w:t>
            </w:r>
            <w:r w:rsidR="00AA2643">
              <w:rPr>
                <w:rFonts w:ascii="Noto Sans" w:hAnsi="Noto Sans" w:cs="Noto Sans"/>
                <w:sz w:val="20"/>
                <w:szCs w:val="20"/>
              </w:rPr>
              <w:t>3</w:t>
            </w:r>
            <w:r w:rsidRPr="00FE319A">
              <w:rPr>
                <w:rFonts w:ascii="Noto Sans" w:hAnsi="Noto Sans" w:cs="Noto Sans"/>
                <w:sz w:val="20"/>
                <w:szCs w:val="20"/>
              </w:rPr>
              <w:t xml:space="preserve"> miles de pesos corresponden a Recursos Propios no ejercidos por falta de autorización de la Coordinación de Estrategia Digital Nacional.</w:t>
            </w:r>
          </w:p>
        </w:tc>
      </w:tr>
      <w:tr w:rsidR="003D10C5" w:rsidRPr="00FE319A" w14:paraId="64C15F46" w14:textId="77777777" w:rsidTr="00847320">
        <w:trPr>
          <w:trHeight w:val="603"/>
          <w:jc w:val="center"/>
        </w:trPr>
        <w:tc>
          <w:tcPr>
            <w:tcW w:w="2679" w:type="dxa"/>
            <w:gridSpan w:val="2"/>
            <w:shd w:val="clear" w:color="auto" w:fill="D9D9D9" w:themeFill="background1" w:themeFillShade="D9"/>
            <w:noWrap/>
            <w:vAlign w:val="center"/>
          </w:tcPr>
          <w:p w14:paraId="5890E33D" w14:textId="77777777" w:rsidR="003D10C5" w:rsidRPr="00AA2643" w:rsidRDefault="003D10C5" w:rsidP="00FE319A">
            <w:pPr>
              <w:jc w:val="center"/>
              <w:rPr>
                <w:rFonts w:ascii="Noto Sans" w:hAnsi="Noto Sans" w:cs="Noto Sans"/>
                <w:b/>
                <w:bCs/>
                <w:szCs w:val="18"/>
              </w:rPr>
            </w:pPr>
            <w:r w:rsidRPr="00AA2643">
              <w:rPr>
                <w:rFonts w:ascii="Noto Sans" w:hAnsi="Noto Sans" w:cs="Noto Sans"/>
                <w:b/>
                <w:bCs/>
                <w:szCs w:val="18"/>
              </w:rPr>
              <w:t>TOTAL</w:t>
            </w:r>
          </w:p>
        </w:tc>
        <w:tc>
          <w:tcPr>
            <w:tcW w:w="1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96A901F" w14:textId="224464FE" w:rsidR="003D10C5" w:rsidRPr="003954F2" w:rsidRDefault="003D10C5" w:rsidP="00FE319A">
            <w:pPr>
              <w:jc w:val="center"/>
              <w:rPr>
                <w:rFonts w:ascii="Noto Sans" w:hAnsi="Noto Sans" w:cs="Noto Sans"/>
                <w:b/>
                <w:bCs/>
                <w:szCs w:val="18"/>
              </w:rPr>
            </w:pPr>
            <w:r w:rsidRPr="003954F2">
              <w:rPr>
                <w:rFonts w:ascii="Noto Sans" w:hAnsi="Noto Sans" w:cs="Noto Sans"/>
                <w:b/>
                <w:bCs/>
                <w:szCs w:val="18"/>
              </w:rPr>
              <w:t>230,284.3</w:t>
            </w:r>
            <w:r w:rsidR="00AA515C">
              <w:rPr>
                <w:rFonts w:ascii="Noto Sans" w:hAnsi="Noto Sans" w:cs="Noto Sans"/>
                <w:b/>
                <w:bCs/>
                <w:szCs w:val="18"/>
              </w:rPr>
              <w:t>0</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827E3DC" w14:textId="3926E23C" w:rsidR="003D10C5" w:rsidRPr="003954F2" w:rsidRDefault="00AA2643" w:rsidP="00FE319A">
            <w:pPr>
              <w:jc w:val="center"/>
              <w:rPr>
                <w:rFonts w:ascii="Noto Sans" w:hAnsi="Noto Sans" w:cs="Noto Sans"/>
                <w:b/>
                <w:bCs/>
                <w:szCs w:val="18"/>
              </w:rPr>
            </w:pPr>
            <w:r w:rsidRPr="003954F2">
              <w:rPr>
                <w:rFonts w:ascii="Noto Sans" w:hAnsi="Noto Sans" w:cs="Noto Sans"/>
                <w:b/>
                <w:bCs/>
                <w:szCs w:val="18"/>
              </w:rPr>
              <w:t>124,373.44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D5D264B" w14:textId="0ECD63E2" w:rsidR="003D10C5" w:rsidRPr="003954F2" w:rsidRDefault="00AA2643" w:rsidP="00FE319A">
            <w:pPr>
              <w:jc w:val="center"/>
              <w:rPr>
                <w:rFonts w:ascii="Noto Sans" w:hAnsi="Noto Sans" w:cs="Noto Sans"/>
                <w:b/>
                <w:bCs/>
                <w:szCs w:val="18"/>
              </w:rPr>
            </w:pPr>
            <w:r w:rsidRPr="003954F2">
              <w:rPr>
                <w:rFonts w:ascii="Noto Sans" w:hAnsi="Noto Sans" w:cs="Noto Sans"/>
                <w:b/>
                <w:bCs/>
                <w:szCs w:val="18"/>
              </w:rPr>
              <w:t>105,9</w:t>
            </w:r>
            <w:r w:rsidR="00AA515C">
              <w:rPr>
                <w:rFonts w:ascii="Noto Sans" w:hAnsi="Noto Sans" w:cs="Noto Sans"/>
                <w:b/>
                <w:bCs/>
                <w:szCs w:val="18"/>
              </w:rPr>
              <w:t>1</w:t>
            </w:r>
            <w:r w:rsidRPr="003954F2">
              <w:rPr>
                <w:rFonts w:ascii="Noto Sans" w:hAnsi="Noto Sans" w:cs="Noto Sans"/>
                <w:b/>
                <w:bCs/>
                <w:szCs w:val="18"/>
              </w:rPr>
              <w:t>0.8</w:t>
            </w:r>
            <w:r w:rsidR="00AA515C">
              <w:rPr>
                <w:rFonts w:ascii="Noto Sans" w:hAnsi="Noto Sans" w:cs="Noto Sans"/>
                <w:b/>
                <w:bCs/>
                <w:szCs w:val="18"/>
              </w:rPr>
              <w:t>5</w:t>
            </w:r>
          </w:p>
        </w:tc>
        <w:tc>
          <w:tcPr>
            <w:tcW w:w="373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92EE01" w14:textId="77777777" w:rsidR="003D10C5" w:rsidRPr="00FE319A" w:rsidRDefault="003D10C5" w:rsidP="003D10C5">
            <w:pPr>
              <w:rPr>
                <w:rFonts w:ascii="Noto Sans" w:hAnsi="Noto Sans" w:cs="Noto Sans"/>
                <w:sz w:val="20"/>
                <w:szCs w:val="20"/>
              </w:rPr>
            </w:pPr>
          </w:p>
        </w:tc>
      </w:tr>
    </w:tbl>
    <w:p w14:paraId="6970E222" w14:textId="77777777" w:rsidR="00F97EAF" w:rsidRPr="00FE319A" w:rsidRDefault="00F97EAF" w:rsidP="00FE319A">
      <w:pPr>
        <w:spacing w:line="240" w:lineRule="auto"/>
        <w:rPr>
          <w:rFonts w:ascii="Noto Sans" w:hAnsi="Noto Sans" w:cs="Noto Sans"/>
          <w:sz w:val="20"/>
          <w:szCs w:val="20"/>
        </w:rPr>
      </w:pPr>
    </w:p>
    <w:p w14:paraId="2AA02D29" w14:textId="77777777" w:rsidR="00F97EAF" w:rsidRPr="00C62D8E" w:rsidRDefault="00F97EAF" w:rsidP="00C62D8E">
      <w:pPr>
        <w:pStyle w:val="Ttulo2"/>
      </w:pPr>
      <w:r w:rsidRPr="00C62D8E">
        <w:t xml:space="preserve">NOTA GENERAL: </w:t>
      </w:r>
    </w:p>
    <w:p w14:paraId="5DF14C91" w14:textId="77777777" w:rsidR="00F97EAF" w:rsidRPr="00C62D8E" w:rsidRDefault="00F97EAF" w:rsidP="00C62D8E">
      <w:pPr>
        <w:pStyle w:val="Contenido1"/>
      </w:pPr>
      <w:r w:rsidRPr="00C62D8E">
        <w:t xml:space="preserve">Es importante mencionar que los montos aquí reflejados se encuentran dentro de lo establecido en el artículo 82 del Reglamento de la LAASSP, mismo que señala que: </w:t>
      </w:r>
      <w:r w:rsidRPr="00C62D8E">
        <w:rPr>
          <w:b/>
          <w:bCs/>
        </w:rPr>
        <w:t>“Las dependencias y entidades, en contrataciones iguales o superiores al equivalente a trescientas veces el salario diario mínimo general vigente en el Distrito Federal, deberán formalizar las adquisiciones, arrendamientos y servicios a través de contratos, los cuales deberán contener en lo aplicable, los elementos a que se refiere el artículo 45 de la LAASSP y lo previsto en el artículo 81 del Reglamento. Las dependencias y entidades deberán llevar el registro, control y comprobación de las contrataciones adjudicadas en forma directa en los términos del artículo 42 de la LAASSP, que no requieran la formalización de contratos, de conformidad con las disposiciones presupuestarias aplicables”.</w:t>
      </w:r>
    </w:p>
    <w:p w14:paraId="0D134C3E" w14:textId="77777777" w:rsidR="00F97EAF" w:rsidRDefault="00F97EAF" w:rsidP="00F97EAF">
      <w:pPr>
        <w:rPr>
          <w:rFonts w:eastAsia="Calibri" w:cs="Times New Roman"/>
          <w:b/>
          <w:bCs/>
          <w:color w:val="7030A0"/>
          <w:sz w:val="28"/>
          <w:szCs w:val="28"/>
        </w:rPr>
      </w:pPr>
    </w:p>
    <w:p w14:paraId="386099C6" w14:textId="77777777" w:rsidR="00F97EAF" w:rsidRPr="00D95FEA" w:rsidRDefault="00F97EAF" w:rsidP="00F97EAF"/>
    <w:p w14:paraId="114B7BF1" w14:textId="77777777" w:rsidR="00F92269" w:rsidRPr="00F97EAF" w:rsidRDefault="00F92269" w:rsidP="00F97EAF"/>
    <w:sectPr w:rsidR="00F92269" w:rsidRPr="00F97EA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08D81" w14:textId="77777777" w:rsidR="00CA2D07" w:rsidRDefault="00CA2D07" w:rsidP="00734F2E">
      <w:pPr>
        <w:spacing w:before="0" w:after="0" w:line="240" w:lineRule="auto"/>
      </w:pPr>
      <w:r>
        <w:separator/>
      </w:r>
    </w:p>
  </w:endnote>
  <w:endnote w:type="continuationSeparator" w:id="0">
    <w:p w14:paraId="7514C2FE" w14:textId="77777777" w:rsidR="00CA2D07" w:rsidRDefault="00CA2D07"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 w:name="Geomanist">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29D62D0A" w:rsidR="00A9012B" w:rsidRPr="005C486A" w:rsidRDefault="001B0D5D" w:rsidP="00684857">
    <w:pPr>
      <w:jc w:val="center"/>
      <w:rPr>
        <w:b/>
        <w:bCs/>
      </w:rPr>
    </w:pPr>
    <w:r>
      <w:rPr>
        <w:noProof/>
      </w:rPr>
      <mc:AlternateContent>
        <mc:Choice Requires="wps">
          <w:drawing>
            <wp:anchor distT="0" distB="0" distL="114300" distR="114300" simplePos="0" relativeHeight="251704320" behindDoc="0" locked="0" layoutInCell="1" allowOverlap="1" wp14:anchorId="0B9C454C" wp14:editId="5B3D49EC">
              <wp:simplePos x="0" y="0"/>
              <wp:positionH relativeFrom="column">
                <wp:posOffset>995683</wp:posOffset>
              </wp:positionH>
              <wp:positionV relativeFrom="paragraph">
                <wp:posOffset>-3298</wp:posOffset>
              </wp:positionV>
              <wp:extent cx="5029200" cy="619711"/>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19711"/>
                      </a:xfrm>
                      <a:prstGeom prst="rect">
                        <a:avLst/>
                      </a:prstGeom>
                      <a:noFill/>
                      <a:ln w="6350">
                        <a:noFill/>
                      </a:ln>
                    </wps:spPr>
                    <wps:txbx>
                      <w:txbxContent>
                        <w:p w14:paraId="1CEB8491" w14:textId="55EC7FAE"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w:t>
                          </w:r>
                          <w:r w:rsidR="001B0D5D">
                            <w:rPr>
                              <w:rFonts w:ascii="Noto Sans" w:hAnsi="Noto Sans" w:cs="Noto Sans"/>
                              <w:color w:val="4D182A"/>
                              <w:sz w:val="14"/>
                              <w:szCs w:val="14"/>
                            </w:rPr>
                            <w:t>A</w:t>
                          </w:r>
                          <w:r w:rsidRPr="00D00C3B">
                            <w:rPr>
                              <w:rFonts w:ascii="Noto Sans" w:hAnsi="Noto Sans" w:cs="Noto Sans"/>
                              <w:color w:val="4D182A"/>
                              <w:sz w:val="14"/>
                              <w:szCs w:val="14"/>
                            </w:rPr>
                            <w:t>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C454C" id="_x0000_t202" coordsize="21600,21600" o:spt="202" path="m,l,21600r21600,l21600,xe">
              <v:stroke joinstyle="miter"/>
              <v:path gradientshapeok="t" o:connecttype="rect"/>
            </v:shapetype>
            <v:shape id="_x0000_s1027" type="#_x0000_t202" style="position:absolute;left:0;text-align:left;margin-left:78.4pt;margin-top:-.25pt;width:396pt;height:48.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" filled="f" stroked="f" strokeweight=".5pt">
              <v:textbox>
                <w:txbxContent>
                  <w:p w14:paraId="1CEB8491" w14:textId="55EC7FAE"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w:t>
                    </w:r>
                    <w:r w:rsidR="001B0D5D">
                      <w:rPr>
                        <w:rFonts w:ascii="Noto Sans" w:hAnsi="Noto Sans" w:cs="Noto Sans"/>
                        <w:color w:val="4D182A"/>
                        <w:sz w:val="14"/>
                        <w:szCs w:val="14"/>
                      </w:rPr>
                      <w:t>A</w:t>
                    </w:r>
                    <w:r w:rsidRPr="00D00C3B">
                      <w:rPr>
                        <w:rFonts w:ascii="Noto Sans" w:hAnsi="Noto Sans" w:cs="Noto Sans"/>
                        <w:color w:val="4D182A"/>
                        <w:sz w:val="14"/>
                        <w:szCs w:val="14"/>
                      </w:rPr>
                      <w:t>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700224" behindDoc="0" locked="0" layoutInCell="1" allowOverlap="1" wp14:anchorId="02A4943E" wp14:editId="5202021C">
              <wp:simplePos x="0" y="0"/>
              <wp:positionH relativeFrom="column">
                <wp:posOffset>1074590</wp:posOffset>
              </wp:positionH>
              <wp:positionV relativeFrom="paragraph">
                <wp:posOffset>609248</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0C5AFA46" w:rsidR="00FB3673" w:rsidRDefault="00FB3673">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FB3673">
                            <w:rPr>
                              <w:sz w:val="16"/>
                              <w:szCs w:val="21"/>
                              <w:lang w:val="es-ES_tradnl"/>
                              <w14:textOutline w14:w="9525" w14:cap="rnd" w14:cmpd="sng" w14:algn="ctr">
                                <w14:solidFill>
                                  <w14:schemeClr w14:val="tx1">
                                    <w14:lumMod w14:val="50000"/>
                                    <w14:lumOff w14:val="50000"/>
                                  </w14:schemeClr>
                                </w14:solidFill>
                                <w14:prstDash w14:val="solid"/>
                                <w14:bevel/>
                              </w14:textOutline>
                            </w:rPr>
                            <w:t>Sección Tema</w:t>
                          </w:r>
                          <w:r w:rsidR="001B0D5D">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5.12a Nota </w:t>
                          </w:r>
                          <w:proofErr w:type="spellStart"/>
                          <w:r w:rsidR="001B0D5D">
                            <w:rPr>
                              <w:sz w:val="16"/>
                              <w:szCs w:val="21"/>
                              <w:lang w:val="es-ES_tradnl"/>
                              <w14:textOutline w14:w="9525" w14:cap="rnd" w14:cmpd="sng" w14:algn="ctr">
                                <w14:solidFill>
                                  <w14:schemeClr w14:val="tx1">
                                    <w14:lumMod w14:val="50000"/>
                                    <w14:lumOff w14:val="50000"/>
                                  </w14:schemeClr>
                                </w14:solidFill>
                                <w14:prstDash w14:val="solid"/>
                                <w14:bevel/>
                              </w14:textOutline>
                            </w:rPr>
                            <w:t>Exp</w:t>
                          </w:r>
                          <w:proofErr w:type="spellEnd"/>
                          <w:r w:rsidR="001B0D5D">
                            <w:rPr>
                              <w:sz w:val="16"/>
                              <w:szCs w:val="21"/>
                              <w:lang w:val="es-ES_tradnl"/>
                              <w14:textOutline w14:w="9525" w14:cap="rnd" w14:cmpd="sng" w14:algn="ctr">
                                <w14:solidFill>
                                  <w14:schemeClr w14:val="tx1">
                                    <w14:lumMod w14:val="50000"/>
                                    <w14:lumOff w14:val="50000"/>
                                  </w14:schemeClr>
                                </w14:solidFill>
                                <w14:prstDash w14:val="solid"/>
                                <w14:bevel/>
                              </w14:textOutline>
                            </w:rPr>
                            <w:t>. Var. Art. 42</w:t>
                          </w:r>
                        </w:p>
                        <w:p w14:paraId="034F45B7" w14:textId="288780E0" w:rsidR="001B0D5D" w:rsidRPr="00FB3673" w:rsidRDefault="001B0D5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A Nota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4943E" id="Cuadro de texto 1" o:spid="_x0000_s1028" type="#_x0000_t202" style="position:absolute;left:0;text-align:left;margin-left:84.6pt;margin-top:47.9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" filled="f" stroked="f" strokeweight=".5pt">
              <v:textbox>
                <w:txbxContent>
                  <w:p w14:paraId="26D4F014" w14:textId="0C5AFA46" w:rsidR="00FB3673" w:rsidRDefault="00FB3673">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FB3673">
                      <w:rPr>
                        <w:sz w:val="16"/>
                        <w:szCs w:val="21"/>
                        <w:lang w:val="es-ES_tradnl"/>
                        <w14:textOutline w14:w="9525" w14:cap="rnd" w14:cmpd="sng" w14:algn="ctr">
                          <w14:solidFill>
                            <w14:schemeClr w14:val="tx1">
                              <w14:lumMod w14:val="50000"/>
                              <w14:lumOff w14:val="50000"/>
                            </w14:schemeClr>
                          </w14:solidFill>
                          <w14:prstDash w14:val="solid"/>
                          <w14:bevel/>
                        </w14:textOutline>
                      </w:rPr>
                      <w:t>Sección Tema</w:t>
                    </w:r>
                    <w:r w:rsidR="001B0D5D">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5.12a Nota </w:t>
                    </w:r>
                    <w:proofErr w:type="spellStart"/>
                    <w:r w:rsidR="001B0D5D">
                      <w:rPr>
                        <w:sz w:val="16"/>
                        <w:szCs w:val="21"/>
                        <w:lang w:val="es-ES_tradnl"/>
                        <w14:textOutline w14:w="9525" w14:cap="rnd" w14:cmpd="sng" w14:algn="ctr">
                          <w14:solidFill>
                            <w14:schemeClr w14:val="tx1">
                              <w14:lumMod w14:val="50000"/>
                              <w14:lumOff w14:val="50000"/>
                            </w14:schemeClr>
                          </w14:solidFill>
                          <w14:prstDash w14:val="solid"/>
                          <w14:bevel/>
                        </w14:textOutline>
                      </w:rPr>
                      <w:t>Exp</w:t>
                    </w:r>
                    <w:proofErr w:type="spellEnd"/>
                    <w:r w:rsidR="001B0D5D">
                      <w:rPr>
                        <w:sz w:val="16"/>
                        <w:szCs w:val="21"/>
                        <w:lang w:val="es-ES_tradnl"/>
                        <w14:textOutline w14:w="9525" w14:cap="rnd" w14:cmpd="sng" w14:algn="ctr">
                          <w14:solidFill>
                            <w14:schemeClr w14:val="tx1">
                              <w14:lumMod w14:val="50000"/>
                              <w14:lumOff w14:val="50000"/>
                            </w14:schemeClr>
                          </w14:solidFill>
                          <w14:prstDash w14:val="solid"/>
                          <w14:bevel/>
                        </w14:textOutline>
                      </w:rPr>
                      <w:t>. Var. Art. 42</w:t>
                    </w:r>
                  </w:p>
                  <w:p w14:paraId="034F45B7" w14:textId="288780E0" w:rsidR="001B0D5D" w:rsidRPr="00FB3673" w:rsidRDefault="001B0D5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A Nota </w:t>
                    </w: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C4069" w14:textId="77777777" w:rsidR="00CA2D07" w:rsidRDefault="00CA2D07" w:rsidP="00734F2E">
      <w:pPr>
        <w:spacing w:before="0" w:after="0" w:line="240" w:lineRule="auto"/>
      </w:pPr>
      <w:r>
        <w:separator/>
      </w:r>
    </w:p>
  </w:footnote>
  <w:footnote w:type="continuationSeparator" w:id="0">
    <w:p w14:paraId="321E1C80" w14:textId="77777777" w:rsidR="00CA2D07" w:rsidRDefault="00CA2D07"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13492"/>
    <w:rsid w:val="000244BF"/>
    <w:rsid w:val="000277D8"/>
    <w:rsid w:val="00030D02"/>
    <w:rsid w:val="00034561"/>
    <w:rsid w:val="00035A91"/>
    <w:rsid w:val="00044184"/>
    <w:rsid w:val="00053BD1"/>
    <w:rsid w:val="0006573D"/>
    <w:rsid w:val="000746AB"/>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07D29"/>
    <w:rsid w:val="001108FA"/>
    <w:rsid w:val="00110FA8"/>
    <w:rsid w:val="00113B5D"/>
    <w:rsid w:val="001145D4"/>
    <w:rsid w:val="00115EED"/>
    <w:rsid w:val="00132B89"/>
    <w:rsid w:val="001475EF"/>
    <w:rsid w:val="001535F6"/>
    <w:rsid w:val="001676A1"/>
    <w:rsid w:val="00167A94"/>
    <w:rsid w:val="00170ED2"/>
    <w:rsid w:val="001720DA"/>
    <w:rsid w:val="001726B9"/>
    <w:rsid w:val="0018283E"/>
    <w:rsid w:val="001933D1"/>
    <w:rsid w:val="00196CC8"/>
    <w:rsid w:val="001A0E20"/>
    <w:rsid w:val="001B056D"/>
    <w:rsid w:val="001B0D5D"/>
    <w:rsid w:val="001B4F5A"/>
    <w:rsid w:val="001B61C5"/>
    <w:rsid w:val="001C11EA"/>
    <w:rsid w:val="001C525E"/>
    <w:rsid w:val="001C5D8B"/>
    <w:rsid w:val="001D15BA"/>
    <w:rsid w:val="001D16C8"/>
    <w:rsid w:val="001D42E7"/>
    <w:rsid w:val="001E11CA"/>
    <w:rsid w:val="001E3903"/>
    <w:rsid w:val="001E44DE"/>
    <w:rsid w:val="001F071B"/>
    <w:rsid w:val="001F446D"/>
    <w:rsid w:val="001F593C"/>
    <w:rsid w:val="00201296"/>
    <w:rsid w:val="00204E02"/>
    <w:rsid w:val="00216C00"/>
    <w:rsid w:val="00221A3F"/>
    <w:rsid w:val="00225601"/>
    <w:rsid w:val="00234EE4"/>
    <w:rsid w:val="002437F4"/>
    <w:rsid w:val="002525DF"/>
    <w:rsid w:val="00253541"/>
    <w:rsid w:val="00253CF0"/>
    <w:rsid w:val="0026141A"/>
    <w:rsid w:val="002628AA"/>
    <w:rsid w:val="00263EF9"/>
    <w:rsid w:val="002643AB"/>
    <w:rsid w:val="0026486F"/>
    <w:rsid w:val="002A550B"/>
    <w:rsid w:val="002C49AE"/>
    <w:rsid w:val="002C6F6B"/>
    <w:rsid w:val="002D4649"/>
    <w:rsid w:val="002D695E"/>
    <w:rsid w:val="002E37EF"/>
    <w:rsid w:val="002E70DB"/>
    <w:rsid w:val="002F08B9"/>
    <w:rsid w:val="002F28AF"/>
    <w:rsid w:val="00301708"/>
    <w:rsid w:val="00324B65"/>
    <w:rsid w:val="00326DD7"/>
    <w:rsid w:val="0032768C"/>
    <w:rsid w:val="00340673"/>
    <w:rsid w:val="00341973"/>
    <w:rsid w:val="00347322"/>
    <w:rsid w:val="00350246"/>
    <w:rsid w:val="00352482"/>
    <w:rsid w:val="0035372A"/>
    <w:rsid w:val="00357E6F"/>
    <w:rsid w:val="00360203"/>
    <w:rsid w:val="00362A18"/>
    <w:rsid w:val="003635C4"/>
    <w:rsid w:val="00364CCE"/>
    <w:rsid w:val="003657F8"/>
    <w:rsid w:val="00374409"/>
    <w:rsid w:val="00383D71"/>
    <w:rsid w:val="003841F5"/>
    <w:rsid w:val="00384E1C"/>
    <w:rsid w:val="0038634A"/>
    <w:rsid w:val="00391153"/>
    <w:rsid w:val="0039251E"/>
    <w:rsid w:val="003954F2"/>
    <w:rsid w:val="003A57FA"/>
    <w:rsid w:val="003B0235"/>
    <w:rsid w:val="003B11D6"/>
    <w:rsid w:val="003B7A8D"/>
    <w:rsid w:val="003C3144"/>
    <w:rsid w:val="003C7611"/>
    <w:rsid w:val="003D10C5"/>
    <w:rsid w:val="003D2890"/>
    <w:rsid w:val="003D6DBE"/>
    <w:rsid w:val="003E0173"/>
    <w:rsid w:val="004026DA"/>
    <w:rsid w:val="0040290E"/>
    <w:rsid w:val="00406274"/>
    <w:rsid w:val="0040628D"/>
    <w:rsid w:val="0040670A"/>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81E06"/>
    <w:rsid w:val="004A7E54"/>
    <w:rsid w:val="004B2444"/>
    <w:rsid w:val="004B3E6E"/>
    <w:rsid w:val="004B4455"/>
    <w:rsid w:val="004B56EE"/>
    <w:rsid w:val="004B777C"/>
    <w:rsid w:val="004C11E7"/>
    <w:rsid w:val="004C2F97"/>
    <w:rsid w:val="004C58E0"/>
    <w:rsid w:val="004C783D"/>
    <w:rsid w:val="004D0D7D"/>
    <w:rsid w:val="004D7AE2"/>
    <w:rsid w:val="004E2293"/>
    <w:rsid w:val="004E2FB4"/>
    <w:rsid w:val="004E7F3C"/>
    <w:rsid w:val="004F040C"/>
    <w:rsid w:val="004F5FDB"/>
    <w:rsid w:val="00514848"/>
    <w:rsid w:val="005168C2"/>
    <w:rsid w:val="00524ADB"/>
    <w:rsid w:val="005332CA"/>
    <w:rsid w:val="0053485C"/>
    <w:rsid w:val="0053694C"/>
    <w:rsid w:val="00542027"/>
    <w:rsid w:val="00547208"/>
    <w:rsid w:val="0056218B"/>
    <w:rsid w:val="005637EF"/>
    <w:rsid w:val="00570D3A"/>
    <w:rsid w:val="00575C75"/>
    <w:rsid w:val="00582A0E"/>
    <w:rsid w:val="00582C9A"/>
    <w:rsid w:val="005833F3"/>
    <w:rsid w:val="005869A5"/>
    <w:rsid w:val="00587522"/>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0392"/>
    <w:rsid w:val="006019FA"/>
    <w:rsid w:val="00601EAB"/>
    <w:rsid w:val="006056D8"/>
    <w:rsid w:val="00611930"/>
    <w:rsid w:val="0061717C"/>
    <w:rsid w:val="00623D95"/>
    <w:rsid w:val="006256FD"/>
    <w:rsid w:val="00635A11"/>
    <w:rsid w:val="006412B6"/>
    <w:rsid w:val="00644B85"/>
    <w:rsid w:val="00655B58"/>
    <w:rsid w:val="006565D1"/>
    <w:rsid w:val="006572A2"/>
    <w:rsid w:val="0065791F"/>
    <w:rsid w:val="006603E0"/>
    <w:rsid w:val="00661F59"/>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2AA3"/>
    <w:rsid w:val="006F3829"/>
    <w:rsid w:val="006F3E28"/>
    <w:rsid w:val="006F4241"/>
    <w:rsid w:val="0071708C"/>
    <w:rsid w:val="0072159F"/>
    <w:rsid w:val="00724E1C"/>
    <w:rsid w:val="00725849"/>
    <w:rsid w:val="007318C2"/>
    <w:rsid w:val="007349A0"/>
    <w:rsid w:val="00734F2E"/>
    <w:rsid w:val="00737052"/>
    <w:rsid w:val="00740B85"/>
    <w:rsid w:val="007442D8"/>
    <w:rsid w:val="00744661"/>
    <w:rsid w:val="00745702"/>
    <w:rsid w:val="00760A03"/>
    <w:rsid w:val="00760F9E"/>
    <w:rsid w:val="00763D9B"/>
    <w:rsid w:val="0077305A"/>
    <w:rsid w:val="0077345A"/>
    <w:rsid w:val="00780CA2"/>
    <w:rsid w:val="0078296E"/>
    <w:rsid w:val="0078456F"/>
    <w:rsid w:val="00791752"/>
    <w:rsid w:val="0079480B"/>
    <w:rsid w:val="00797329"/>
    <w:rsid w:val="007A15F1"/>
    <w:rsid w:val="007B2EE1"/>
    <w:rsid w:val="007B7C95"/>
    <w:rsid w:val="007D0E6C"/>
    <w:rsid w:val="007D1F4E"/>
    <w:rsid w:val="007D3D85"/>
    <w:rsid w:val="007D6192"/>
    <w:rsid w:val="007E33B4"/>
    <w:rsid w:val="007E5B78"/>
    <w:rsid w:val="007F6654"/>
    <w:rsid w:val="008054F7"/>
    <w:rsid w:val="0080622F"/>
    <w:rsid w:val="008067AF"/>
    <w:rsid w:val="008116C9"/>
    <w:rsid w:val="00825209"/>
    <w:rsid w:val="00830110"/>
    <w:rsid w:val="00831A88"/>
    <w:rsid w:val="00833F9C"/>
    <w:rsid w:val="0083526E"/>
    <w:rsid w:val="008367B9"/>
    <w:rsid w:val="0083751D"/>
    <w:rsid w:val="00840015"/>
    <w:rsid w:val="008456C6"/>
    <w:rsid w:val="0084672B"/>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542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932FF"/>
    <w:rsid w:val="009A12C2"/>
    <w:rsid w:val="009A5E6F"/>
    <w:rsid w:val="009B747B"/>
    <w:rsid w:val="009C763E"/>
    <w:rsid w:val="009D27D6"/>
    <w:rsid w:val="009E217E"/>
    <w:rsid w:val="009E6724"/>
    <w:rsid w:val="009E7136"/>
    <w:rsid w:val="009E7B22"/>
    <w:rsid w:val="009F0F17"/>
    <w:rsid w:val="009F1090"/>
    <w:rsid w:val="009F526C"/>
    <w:rsid w:val="009F58FB"/>
    <w:rsid w:val="009F6C7C"/>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47FE3"/>
    <w:rsid w:val="00A675C5"/>
    <w:rsid w:val="00A75952"/>
    <w:rsid w:val="00A847B2"/>
    <w:rsid w:val="00A9012B"/>
    <w:rsid w:val="00AA2643"/>
    <w:rsid w:val="00AA515C"/>
    <w:rsid w:val="00AA52A4"/>
    <w:rsid w:val="00AB2D4F"/>
    <w:rsid w:val="00AB3A26"/>
    <w:rsid w:val="00AC6A4B"/>
    <w:rsid w:val="00AD08A1"/>
    <w:rsid w:val="00AE10E9"/>
    <w:rsid w:val="00AE25C2"/>
    <w:rsid w:val="00AE3F97"/>
    <w:rsid w:val="00AF3CDB"/>
    <w:rsid w:val="00B010B1"/>
    <w:rsid w:val="00B02DE0"/>
    <w:rsid w:val="00B0420E"/>
    <w:rsid w:val="00B07382"/>
    <w:rsid w:val="00B256A2"/>
    <w:rsid w:val="00B27964"/>
    <w:rsid w:val="00B3011A"/>
    <w:rsid w:val="00B37269"/>
    <w:rsid w:val="00B449EC"/>
    <w:rsid w:val="00B47FA3"/>
    <w:rsid w:val="00B51EDA"/>
    <w:rsid w:val="00B528CE"/>
    <w:rsid w:val="00B552FA"/>
    <w:rsid w:val="00B56B46"/>
    <w:rsid w:val="00B606EB"/>
    <w:rsid w:val="00B633E4"/>
    <w:rsid w:val="00B715DB"/>
    <w:rsid w:val="00B75DF3"/>
    <w:rsid w:val="00B7745F"/>
    <w:rsid w:val="00B9024B"/>
    <w:rsid w:val="00B9128D"/>
    <w:rsid w:val="00BA520F"/>
    <w:rsid w:val="00BA6B62"/>
    <w:rsid w:val="00BB2C7D"/>
    <w:rsid w:val="00BC0044"/>
    <w:rsid w:val="00BC4759"/>
    <w:rsid w:val="00BC5948"/>
    <w:rsid w:val="00BE462B"/>
    <w:rsid w:val="00BF10B7"/>
    <w:rsid w:val="00BF5C52"/>
    <w:rsid w:val="00BF7A5A"/>
    <w:rsid w:val="00C00C3E"/>
    <w:rsid w:val="00C03EDB"/>
    <w:rsid w:val="00C119A4"/>
    <w:rsid w:val="00C1461A"/>
    <w:rsid w:val="00C16175"/>
    <w:rsid w:val="00C227B2"/>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2D8E"/>
    <w:rsid w:val="00C64E7F"/>
    <w:rsid w:val="00C6510D"/>
    <w:rsid w:val="00C67E8F"/>
    <w:rsid w:val="00C702FA"/>
    <w:rsid w:val="00C715DF"/>
    <w:rsid w:val="00C7213B"/>
    <w:rsid w:val="00C80999"/>
    <w:rsid w:val="00C80A6F"/>
    <w:rsid w:val="00C903BB"/>
    <w:rsid w:val="00CA2D07"/>
    <w:rsid w:val="00CA527D"/>
    <w:rsid w:val="00CC321F"/>
    <w:rsid w:val="00CC536F"/>
    <w:rsid w:val="00CC75EB"/>
    <w:rsid w:val="00CD0A16"/>
    <w:rsid w:val="00CD1195"/>
    <w:rsid w:val="00CD15D9"/>
    <w:rsid w:val="00CD2F5E"/>
    <w:rsid w:val="00CD6276"/>
    <w:rsid w:val="00CD6F12"/>
    <w:rsid w:val="00CE35BC"/>
    <w:rsid w:val="00CE5BAC"/>
    <w:rsid w:val="00CF251E"/>
    <w:rsid w:val="00CF4A7F"/>
    <w:rsid w:val="00CF7358"/>
    <w:rsid w:val="00CF7CAD"/>
    <w:rsid w:val="00D0130E"/>
    <w:rsid w:val="00D03D39"/>
    <w:rsid w:val="00D124F4"/>
    <w:rsid w:val="00D25062"/>
    <w:rsid w:val="00D25120"/>
    <w:rsid w:val="00D2622F"/>
    <w:rsid w:val="00D30477"/>
    <w:rsid w:val="00D32741"/>
    <w:rsid w:val="00D33AF7"/>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B181F"/>
    <w:rsid w:val="00DC0510"/>
    <w:rsid w:val="00DC1325"/>
    <w:rsid w:val="00DD47E0"/>
    <w:rsid w:val="00DD7BE8"/>
    <w:rsid w:val="00DF572C"/>
    <w:rsid w:val="00E02F95"/>
    <w:rsid w:val="00E2798D"/>
    <w:rsid w:val="00E31FA8"/>
    <w:rsid w:val="00E36009"/>
    <w:rsid w:val="00E36A20"/>
    <w:rsid w:val="00E43C00"/>
    <w:rsid w:val="00E43F68"/>
    <w:rsid w:val="00E50BA2"/>
    <w:rsid w:val="00E514B2"/>
    <w:rsid w:val="00E518E1"/>
    <w:rsid w:val="00E57792"/>
    <w:rsid w:val="00E634E2"/>
    <w:rsid w:val="00E65C91"/>
    <w:rsid w:val="00E662C2"/>
    <w:rsid w:val="00E7021F"/>
    <w:rsid w:val="00E7150A"/>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588"/>
    <w:rsid w:val="00F53715"/>
    <w:rsid w:val="00F54FBF"/>
    <w:rsid w:val="00F6212E"/>
    <w:rsid w:val="00F7219A"/>
    <w:rsid w:val="00F84E80"/>
    <w:rsid w:val="00F86433"/>
    <w:rsid w:val="00F8697E"/>
    <w:rsid w:val="00F91599"/>
    <w:rsid w:val="00F92269"/>
    <w:rsid w:val="00F969E0"/>
    <w:rsid w:val="00F97EAF"/>
    <w:rsid w:val="00FA2D32"/>
    <w:rsid w:val="00FB3673"/>
    <w:rsid w:val="00FB541B"/>
    <w:rsid w:val="00FB6D8B"/>
    <w:rsid w:val="00FC2A94"/>
    <w:rsid w:val="00FC5F24"/>
    <w:rsid w:val="00FC7212"/>
    <w:rsid w:val="00FD746C"/>
    <w:rsid w:val="00FE3051"/>
    <w:rsid w:val="00FE319A"/>
    <w:rsid w:val="00FE6874"/>
    <w:rsid w:val="00FF4B05"/>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C62D8E"/>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C62D8E"/>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62D8E"/>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C62D8E"/>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1336</Words>
  <Characters>7354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8</cp:revision>
  <cp:lastPrinted>2025-05-29T22:53:00Z</cp:lastPrinted>
  <dcterms:created xsi:type="dcterms:W3CDTF">2025-03-24T18:45:00Z</dcterms:created>
  <dcterms:modified xsi:type="dcterms:W3CDTF">2025-05-29T22:53:00Z</dcterms:modified>
</cp:coreProperties>
</file>