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C49F9" w14:textId="77777777" w:rsidR="002B3E58" w:rsidRDefault="002B3E58" w:rsidP="001F735E">
      <w:pPr>
        <w:pStyle w:val="Ttulo1"/>
      </w:pPr>
      <w:r>
        <w:t>4.  INCLUIR UN BREVE RESUMEN SOBRE CUÁNTAS SESIONES ORDINARIAS Y EXTRAORDINARIAS SE     REALIZARON DURANTE EL EJERCICIO 2024 Y DESGLOSAR EL NÚMERO DE ACUERDOS QUE SE DERIVARON EN CADA UNA DE ELLAS.</w:t>
      </w:r>
    </w:p>
    <w:p w14:paraId="7EE25F8E" w14:textId="3ED5FF03" w:rsidR="002B3E58" w:rsidRDefault="002B3E58" w:rsidP="002B3E58">
      <w:pPr>
        <w:pStyle w:val="Contenido1"/>
      </w:pPr>
      <w:r>
        <w:t xml:space="preserve"> Con fundamento en los artículos 93 de la Ley General en Materia de Humanidades, Ciencias, Tecnologías e Innovación, 20, 21 ,22, 23, 26 fracción I, 27, 29 y 30 de los Estatutos del Instituto de Ecología, A.C., durante el ejercicio 2024, se realizaron 2 Sesiones Ordinarias y 2 Extraordinarias del Consejo Directivo y de la Asamblea de Asociados 1 Sesión Ordinaria y 1 Extraordinaria dando un total de 6 sesiones, mismas que se desglosan a continuación: 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2247"/>
        <w:gridCol w:w="1864"/>
      </w:tblGrid>
      <w:tr w:rsidR="002B3E58" w14:paraId="1517E4BE" w14:textId="77777777" w:rsidTr="001F735E">
        <w:trPr>
          <w:trHeight w:val="178"/>
        </w:trPr>
        <w:tc>
          <w:tcPr>
            <w:tcW w:w="8926" w:type="dxa"/>
            <w:gridSpan w:val="5"/>
            <w:shd w:val="clear" w:color="auto" w:fill="9D2449"/>
            <w:vAlign w:val="center"/>
          </w:tcPr>
          <w:p w14:paraId="0626AF18" w14:textId="1C19E02E" w:rsidR="002B3E58" w:rsidRPr="002B3E58" w:rsidRDefault="002B3E58" w:rsidP="002B3E58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</w:rPr>
            </w:pPr>
            <w:r w:rsidRPr="002B3E58">
              <w:rPr>
                <w:b/>
                <w:bCs/>
                <w:color w:val="FFFFFF" w:themeColor="background1"/>
              </w:rPr>
              <w:t>Sesiones de Órgano de Gobierno 2024</w:t>
            </w:r>
          </w:p>
        </w:tc>
      </w:tr>
      <w:tr w:rsidR="002B3E58" w14:paraId="0179FF90" w14:textId="77777777" w:rsidTr="001F735E">
        <w:tc>
          <w:tcPr>
            <w:tcW w:w="1129" w:type="dxa"/>
            <w:shd w:val="clear" w:color="auto" w:fill="9D2449"/>
            <w:vAlign w:val="center"/>
          </w:tcPr>
          <w:p w14:paraId="50AF0944" w14:textId="2F39455A" w:rsidR="002B3E58" w:rsidRPr="002B3E58" w:rsidRDefault="002B3E58" w:rsidP="002B3E58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</w:rPr>
            </w:pPr>
            <w:r w:rsidRPr="002B3E58">
              <w:rPr>
                <w:b/>
                <w:bCs/>
                <w:color w:val="FFFFFF" w:themeColor="background1"/>
              </w:rPr>
              <w:t>No.</w:t>
            </w:r>
          </w:p>
        </w:tc>
        <w:tc>
          <w:tcPr>
            <w:tcW w:w="1560" w:type="dxa"/>
            <w:shd w:val="clear" w:color="auto" w:fill="9D2449"/>
            <w:vAlign w:val="center"/>
          </w:tcPr>
          <w:p w14:paraId="6603510A" w14:textId="6EE4EE0A" w:rsidR="002B3E58" w:rsidRPr="002B3E58" w:rsidRDefault="002B3E58" w:rsidP="002B3E58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</w:rPr>
            </w:pPr>
            <w:r w:rsidRPr="002B3E58">
              <w:rPr>
                <w:b/>
                <w:bCs/>
                <w:color w:val="FFFFFF" w:themeColor="background1"/>
              </w:rPr>
              <w:t>Fecha</w:t>
            </w:r>
          </w:p>
        </w:tc>
        <w:tc>
          <w:tcPr>
            <w:tcW w:w="2126" w:type="dxa"/>
            <w:shd w:val="clear" w:color="auto" w:fill="9D2449"/>
            <w:vAlign w:val="center"/>
          </w:tcPr>
          <w:p w14:paraId="2848D695" w14:textId="5F8CE067" w:rsidR="002B3E58" w:rsidRPr="002B3E58" w:rsidRDefault="002B3E58" w:rsidP="002B3E58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</w:rPr>
            </w:pPr>
            <w:r w:rsidRPr="002B3E58">
              <w:rPr>
                <w:b/>
                <w:bCs/>
                <w:color w:val="FFFFFF" w:themeColor="background1"/>
              </w:rPr>
              <w:t>Tipo de Sesión</w:t>
            </w:r>
          </w:p>
        </w:tc>
        <w:tc>
          <w:tcPr>
            <w:tcW w:w="2247" w:type="dxa"/>
            <w:shd w:val="clear" w:color="auto" w:fill="9D2449"/>
            <w:vAlign w:val="center"/>
          </w:tcPr>
          <w:p w14:paraId="0D5CE5D4" w14:textId="3A89C97A" w:rsidR="002B3E58" w:rsidRPr="002B3E58" w:rsidRDefault="002B3E58" w:rsidP="002B3E58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</w:rPr>
            </w:pPr>
            <w:r w:rsidRPr="002B3E58">
              <w:rPr>
                <w:b/>
                <w:bCs/>
                <w:color w:val="FFFFFF" w:themeColor="background1"/>
              </w:rPr>
              <w:t>Reunión</w:t>
            </w:r>
          </w:p>
        </w:tc>
        <w:tc>
          <w:tcPr>
            <w:tcW w:w="1864" w:type="dxa"/>
            <w:shd w:val="clear" w:color="auto" w:fill="9D2449"/>
            <w:vAlign w:val="center"/>
          </w:tcPr>
          <w:p w14:paraId="3FE9A55F" w14:textId="4326668F" w:rsidR="002B3E58" w:rsidRPr="002B3E58" w:rsidRDefault="002B3E58" w:rsidP="002B3E58">
            <w:pPr>
              <w:pStyle w:val="Contenido1"/>
              <w:spacing w:before="0" w:after="0"/>
              <w:jc w:val="center"/>
              <w:rPr>
                <w:b/>
                <w:bCs/>
                <w:color w:val="FFFFFF" w:themeColor="background1"/>
              </w:rPr>
            </w:pPr>
            <w:r w:rsidRPr="002B3E58">
              <w:rPr>
                <w:b/>
                <w:bCs/>
                <w:color w:val="FFFFFF" w:themeColor="background1"/>
              </w:rPr>
              <w:t>Número de acuerdos</w:t>
            </w:r>
          </w:p>
        </w:tc>
      </w:tr>
      <w:tr w:rsidR="00EA3279" w14:paraId="78A6BEFE" w14:textId="77777777" w:rsidTr="001F735E">
        <w:tc>
          <w:tcPr>
            <w:tcW w:w="1129" w:type="dxa"/>
          </w:tcPr>
          <w:p w14:paraId="404DE6D1" w14:textId="13150E9F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1</w:t>
            </w:r>
          </w:p>
        </w:tc>
        <w:tc>
          <w:tcPr>
            <w:tcW w:w="1560" w:type="dxa"/>
          </w:tcPr>
          <w:p w14:paraId="079CBFEA" w14:textId="29DEA3C2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21/05/2024</w:t>
            </w:r>
          </w:p>
        </w:tc>
        <w:tc>
          <w:tcPr>
            <w:tcW w:w="2126" w:type="dxa"/>
          </w:tcPr>
          <w:p w14:paraId="237B26BD" w14:textId="5D3D1394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1ra. Ordinaria</w:t>
            </w:r>
          </w:p>
        </w:tc>
        <w:tc>
          <w:tcPr>
            <w:tcW w:w="2247" w:type="dxa"/>
          </w:tcPr>
          <w:p w14:paraId="4689D303" w14:textId="0B250742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Consejo Directivo</w:t>
            </w:r>
          </w:p>
        </w:tc>
        <w:tc>
          <w:tcPr>
            <w:tcW w:w="1864" w:type="dxa"/>
          </w:tcPr>
          <w:p w14:paraId="707B7674" w14:textId="7777777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Seguimiento:5</w:t>
            </w:r>
          </w:p>
          <w:p w14:paraId="3070F654" w14:textId="4B7C310F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 8</w:t>
            </w:r>
          </w:p>
        </w:tc>
      </w:tr>
      <w:tr w:rsidR="00EA3279" w14:paraId="2C1116D7" w14:textId="77777777" w:rsidTr="001F735E">
        <w:tc>
          <w:tcPr>
            <w:tcW w:w="1129" w:type="dxa"/>
          </w:tcPr>
          <w:p w14:paraId="2FFA053E" w14:textId="32AD6F83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2</w:t>
            </w:r>
          </w:p>
        </w:tc>
        <w:tc>
          <w:tcPr>
            <w:tcW w:w="1560" w:type="dxa"/>
          </w:tcPr>
          <w:p w14:paraId="25A7F5D0" w14:textId="429BB76D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09/12/2024</w:t>
            </w:r>
          </w:p>
        </w:tc>
        <w:tc>
          <w:tcPr>
            <w:tcW w:w="2126" w:type="dxa"/>
          </w:tcPr>
          <w:p w14:paraId="378E01AF" w14:textId="6AD8AB55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2da. Ordinaria</w:t>
            </w:r>
          </w:p>
        </w:tc>
        <w:tc>
          <w:tcPr>
            <w:tcW w:w="2247" w:type="dxa"/>
          </w:tcPr>
          <w:p w14:paraId="5DE3573C" w14:textId="1531DACF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Consejo Directivo</w:t>
            </w:r>
          </w:p>
        </w:tc>
        <w:tc>
          <w:tcPr>
            <w:tcW w:w="1864" w:type="dxa"/>
          </w:tcPr>
          <w:p w14:paraId="5054CAF1" w14:textId="7777777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Seguimiento:5</w:t>
            </w:r>
          </w:p>
          <w:p w14:paraId="75968FA1" w14:textId="50925C2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 4</w:t>
            </w:r>
          </w:p>
        </w:tc>
      </w:tr>
      <w:tr w:rsidR="00EA3279" w14:paraId="1A408E00" w14:textId="77777777" w:rsidTr="001F735E">
        <w:tc>
          <w:tcPr>
            <w:tcW w:w="1129" w:type="dxa"/>
          </w:tcPr>
          <w:p w14:paraId="26A5F99E" w14:textId="70494E7E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3</w:t>
            </w:r>
          </w:p>
        </w:tc>
        <w:tc>
          <w:tcPr>
            <w:tcW w:w="1560" w:type="dxa"/>
          </w:tcPr>
          <w:p w14:paraId="4865EF20" w14:textId="47551FB3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27/08/2024</w:t>
            </w:r>
          </w:p>
        </w:tc>
        <w:tc>
          <w:tcPr>
            <w:tcW w:w="2126" w:type="dxa"/>
          </w:tcPr>
          <w:p w14:paraId="09937878" w14:textId="27ADED78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1ra. Extraordinaria</w:t>
            </w:r>
          </w:p>
        </w:tc>
        <w:tc>
          <w:tcPr>
            <w:tcW w:w="2247" w:type="dxa"/>
          </w:tcPr>
          <w:p w14:paraId="79813EE6" w14:textId="567BED75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Consejo Directivo</w:t>
            </w:r>
          </w:p>
        </w:tc>
        <w:tc>
          <w:tcPr>
            <w:tcW w:w="1864" w:type="dxa"/>
          </w:tcPr>
          <w:p w14:paraId="48493956" w14:textId="7777777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Seguimiento:1</w:t>
            </w:r>
          </w:p>
          <w:p w14:paraId="6E56FD4E" w14:textId="3C2972FB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 3</w:t>
            </w:r>
          </w:p>
        </w:tc>
      </w:tr>
      <w:tr w:rsidR="00EA3279" w14:paraId="337ED1EB" w14:textId="77777777" w:rsidTr="001F735E">
        <w:tc>
          <w:tcPr>
            <w:tcW w:w="1129" w:type="dxa"/>
          </w:tcPr>
          <w:p w14:paraId="399468CC" w14:textId="175B0FF5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4</w:t>
            </w:r>
          </w:p>
        </w:tc>
        <w:tc>
          <w:tcPr>
            <w:tcW w:w="1560" w:type="dxa"/>
          </w:tcPr>
          <w:p w14:paraId="0D8528F0" w14:textId="1B7FE666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17/09/2024</w:t>
            </w:r>
          </w:p>
        </w:tc>
        <w:tc>
          <w:tcPr>
            <w:tcW w:w="2126" w:type="dxa"/>
          </w:tcPr>
          <w:p w14:paraId="488035F6" w14:textId="14B699F8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2da. Extraordinaria</w:t>
            </w:r>
          </w:p>
        </w:tc>
        <w:tc>
          <w:tcPr>
            <w:tcW w:w="2247" w:type="dxa"/>
          </w:tcPr>
          <w:p w14:paraId="79A2EFBC" w14:textId="3C3D7A70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Consejo Directivo</w:t>
            </w:r>
          </w:p>
        </w:tc>
        <w:tc>
          <w:tcPr>
            <w:tcW w:w="1864" w:type="dxa"/>
          </w:tcPr>
          <w:p w14:paraId="1C2679D3" w14:textId="7777777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Seguimiento:0</w:t>
            </w:r>
          </w:p>
          <w:p w14:paraId="7AD40989" w14:textId="357BE21E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 4</w:t>
            </w:r>
          </w:p>
        </w:tc>
      </w:tr>
      <w:tr w:rsidR="00EA3279" w14:paraId="26DC29AA" w14:textId="77777777" w:rsidTr="001F735E">
        <w:tc>
          <w:tcPr>
            <w:tcW w:w="1129" w:type="dxa"/>
          </w:tcPr>
          <w:p w14:paraId="2347F5AC" w14:textId="0E332202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5</w:t>
            </w:r>
          </w:p>
        </w:tc>
        <w:tc>
          <w:tcPr>
            <w:tcW w:w="1560" w:type="dxa"/>
          </w:tcPr>
          <w:p w14:paraId="1AA87E09" w14:textId="5AAC5CAC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21/05/2024</w:t>
            </w:r>
          </w:p>
        </w:tc>
        <w:tc>
          <w:tcPr>
            <w:tcW w:w="2126" w:type="dxa"/>
          </w:tcPr>
          <w:p w14:paraId="4CF7DBBC" w14:textId="216C2A4C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1ra. Ordinaria</w:t>
            </w:r>
          </w:p>
        </w:tc>
        <w:tc>
          <w:tcPr>
            <w:tcW w:w="2247" w:type="dxa"/>
          </w:tcPr>
          <w:p w14:paraId="5BB5AB8A" w14:textId="4D9F6A18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Asamblea de Asociados</w:t>
            </w:r>
          </w:p>
        </w:tc>
        <w:tc>
          <w:tcPr>
            <w:tcW w:w="1864" w:type="dxa"/>
          </w:tcPr>
          <w:p w14:paraId="7CF3B358" w14:textId="7777777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 4</w:t>
            </w:r>
          </w:p>
          <w:p w14:paraId="6382AAB7" w14:textId="3DFE3373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Resolución:5</w:t>
            </w:r>
          </w:p>
        </w:tc>
      </w:tr>
      <w:tr w:rsidR="00EA3279" w14:paraId="5BBE7CFC" w14:textId="77777777" w:rsidTr="001F735E">
        <w:tc>
          <w:tcPr>
            <w:tcW w:w="1129" w:type="dxa"/>
          </w:tcPr>
          <w:p w14:paraId="673729E9" w14:textId="77B5F54E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6</w:t>
            </w:r>
          </w:p>
        </w:tc>
        <w:tc>
          <w:tcPr>
            <w:tcW w:w="1560" w:type="dxa"/>
          </w:tcPr>
          <w:p w14:paraId="4A4FB09A" w14:textId="1A90A255" w:rsidR="00EA3279" w:rsidRPr="00EA3279" w:rsidRDefault="00EA3279" w:rsidP="001F735E">
            <w:pPr>
              <w:pStyle w:val="Contenido1"/>
              <w:spacing w:before="0" w:after="0"/>
              <w:jc w:val="center"/>
            </w:pPr>
            <w:r w:rsidRPr="00EA3279">
              <w:t>17/09/2024</w:t>
            </w:r>
          </w:p>
        </w:tc>
        <w:tc>
          <w:tcPr>
            <w:tcW w:w="2126" w:type="dxa"/>
          </w:tcPr>
          <w:p w14:paraId="6E36DF6E" w14:textId="39B0470F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1ra. Extraordinaria</w:t>
            </w:r>
          </w:p>
        </w:tc>
        <w:tc>
          <w:tcPr>
            <w:tcW w:w="2247" w:type="dxa"/>
          </w:tcPr>
          <w:p w14:paraId="4A2676D9" w14:textId="3AA2DC6C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Asamblea de Asociados</w:t>
            </w:r>
          </w:p>
        </w:tc>
        <w:tc>
          <w:tcPr>
            <w:tcW w:w="1864" w:type="dxa"/>
          </w:tcPr>
          <w:p w14:paraId="025074BA" w14:textId="77777777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Seguimiento: 0</w:t>
            </w:r>
          </w:p>
          <w:p w14:paraId="40AA2E49" w14:textId="5ADFADFA" w:rsidR="00EA3279" w:rsidRPr="00EA3279" w:rsidRDefault="00EA3279" w:rsidP="00EA3279">
            <w:pPr>
              <w:pStyle w:val="Contenido1"/>
              <w:spacing w:before="0" w:after="0"/>
            </w:pPr>
            <w:r w:rsidRPr="00EA3279">
              <w:t>Resolución: 4</w:t>
            </w:r>
          </w:p>
        </w:tc>
      </w:tr>
    </w:tbl>
    <w:p w14:paraId="32A4F3E7" w14:textId="77777777" w:rsidR="002B3E58" w:rsidRDefault="002B3E58" w:rsidP="002B3E58">
      <w:pPr>
        <w:pStyle w:val="Contenido1"/>
      </w:pPr>
    </w:p>
    <w:sectPr w:rsidR="002B3E58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FB08" w14:textId="77777777" w:rsidR="008D4964" w:rsidRDefault="008D4964" w:rsidP="00734F2E">
      <w:pPr>
        <w:spacing w:before="0" w:after="0" w:line="240" w:lineRule="auto"/>
      </w:pPr>
      <w:r>
        <w:separator/>
      </w:r>
    </w:p>
  </w:endnote>
  <w:endnote w:type="continuationSeparator" w:id="0">
    <w:p w14:paraId="42723978" w14:textId="77777777" w:rsidR="008D4964" w:rsidRDefault="008D4964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13BFDF92" w:rsidR="00A9012B" w:rsidRPr="005C486A" w:rsidRDefault="0088523C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446093A2">
              <wp:simplePos x="0" y="0"/>
              <wp:positionH relativeFrom="column">
                <wp:posOffset>1074420</wp:posOffset>
              </wp:positionH>
              <wp:positionV relativeFrom="paragraph">
                <wp:posOffset>525145</wp:posOffset>
              </wp:positionV>
              <wp:extent cx="4626321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6321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65172138" w:rsidR="00FB3673" w:rsidRPr="00FB3673" w:rsidRDefault="001F735E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4. </w:t>
                          </w:r>
                          <w:r w:rsidRPr="001F735E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SESIONES ORDINARIAS Y EXTRAORDINARIAS 2024</w:t>
                          </w: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4943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84.6pt;margin-top:41.35pt;width:364.3pt;height:2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" filled="f" stroked="f" strokeweight=".5pt">
              <v:textbox>
                <w:txbxContent>
                  <w:p w14:paraId="26D4F014" w14:textId="65172138" w:rsidR="00FB3673" w:rsidRPr="00FB3673" w:rsidRDefault="001F735E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4. </w:t>
                    </w:r>
                    <w:r w:rsidRPr="001F735E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SESIONES ORDINARIAS Y EXTRAORDINARIAS 2024</w:t>
                    </w: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B9C454C" wp14:editId="046F045E">
              <wp:simplePos x="0" y="0"/>
              <wp:positionH relativeFrom="column">
                <wp:posOffset>996315</wp:posOffset>
              </wp:positionH>
              <wp:positionV relativeFrom="paragraph">
                <wp:posOffset>-635</wp:posOffset>
              </wp:positionV>
              <wp:extent cx="5029200" cy="60960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B8491" w14:textId="77777777" w:rsidR="00D4680B" w:rsidRPr="00D00C3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Carretera antigua a Coatepec No. 351, El Haya, C.P. 91073, Xalapa, Ver., México. Tel: (228) 842 1800 ext .1001 y 1002</w:t>
                          </w:r>
                        </w:p>
                        <w:p w14:paraId="12496C6B" w14:textId="1ABB9650" w:rsidR="00D4680B" w:rsidRPr="00682CE4" w:rsidRDefault="00D4680B" w:rsidP="00D4680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5D11220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0B11384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9C454C" id="_x0000_s1028" type="#_x0000_t202" style="position:absolute;left:0;text-align:left;margin-left:78.45pt;margin-top:-.05pt;width:396pt;height:4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" filled="f" stroked="f" strokeweight=".5pt">
              <v:textbox>
                <w:txbxContent>
                  <w:p w14:paraId="1CEB8491" w14:textId="77777777" w:rsidR="00D4680B" w:rsidRPr="00D00C3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Carretera antigua a Coatepec No. 351, El Haya, C.P. 91073, Xalapa, Ver., México. Tel: (228) 842 1800 ext .1001 y 1002</w:t>
                    </w:r>
                  </w:p>
                  <w:p w14:paraId="12496C6B" w14:textId="1ABB9650" w:rsidR="00D4680B" w:rsidRPr="00682CE4" w:rsidRDefault="00D4680B" w:rsidP="00D4680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5D11220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0B11384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D4680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16B0BCE0">
              <wp:simplePos x="0" y="0"/>
              <wp:positionH relativeFrom="column">
                <wp:posOffset>5615469</wp:posOffset>
              </wp:positionH>
              <wp:positionV relativeFrom="paragraph">
                <wp:posOffset>579120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B7594A" id="Cuadro de texto 16" o:spid="_x0000_s1029" type="#_x0000_t202" style="position:absolute;left:0;text-align:left;margin-left:442.1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agNg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39F59" w14:textId="77777777" w:rsidR="008D4964" w:rsidRDefault="008D4964" w:rsidP="00734F2E">
      <w:pPr>
        <w:spacing w:before="0" w:after="0" w:line="240" w:lineRule="auto"/>
      </w:pPr>
      <w:r>
        <w:separator/>
      </w:r>
    </w:p>
  </w:footnote>
  <w:footnote w:type="continuationSeparator" w:id="0">
    <w:p w14:paraId="5C68DB21" w14:textId="77777777" w:rsidR="008D4964" w:rsidRDefault="008D4964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E063866" w:rsidR="001E44DE" w:rsidRPr="00E87317" w:rsidRDefault="00D4680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E5D5446">
              <wp:simplePos x="0" y="0"/>
              <wp:positionH relativeFrom="column">
                <wp:posOffset>-310352</wp:posOffset>
              </wp:positionH>
              <wp:positionV relativeFrom="paragraph">
                <wp:posOffset>85090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3DC127" w14:textId="02D8904B" w:rsidR="00A1262B" w:rsidRPr="00D4680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="00A1262B"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7127BFCB" w14:textId="77777777" w:rsidR="00A1262B" w:rsidRPr="00E07BB6" w:rsidRDefault="00A1262B" w:rsidP="00D4680B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45pt;margin-top:6.7pt;width:265.2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" filled="f" stroked="f" strokeweight=".5pt">
              <v:textbox>
                <w:txbxContent>
                  <w:p w14:paraId="193DC127" w14:textId="02D8904B" w:rsidR="00A1262B" w:rsidRPr="00D4680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="00A1262B"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7127BFCB" w14:textId="77777777" w:rsidR="00A1262B" w:rsidRPr="00E07BB6" w:rsidRDefault="00A1262B" w:rsidP="00D4680B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7392" behindDoc="1" locked="0" layoutInCell="1" allowOverlap="1" wp14:anchorId="7BED3C73" wp14:editId="5C4227FB">
          <wp:simplePos x="0" y="0"/>
          <wp:positionH relativeFrom="column">
            <wp:posOffset>-1257935</wp:posOffset>
          </wp:positionH>
          <wp:positionV relativeFrom="paragraph">
            <wp:posOffset>8040370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62C7D6D9" wp14:editId="65ED50D0">
          <wp:simplePos x="0" y="0"/>
          <wp:positionH relativeFrom="column">
            <wp:posOffset>5059045</wp:posOffset>
          </wp:positionH>
          <wp:positionV relativeFrom="paragraph">
            <wp:posOffset>-842010</wp:posOffset>
          </wp:positionV>
          <wp:extent cx="1459230" cy="1221740"/>
          <wp:effectExtent l="0" t="0" r="1270" b="0"/>
          <wp:wrapNone/>
          <wp:docPr id="128704703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1" locked="0" layoutInCell="1" allowOverlap="1" wp14:anchorId="7D22CE11" wp14:editId="31A2C6CE">
          <wp:simplePos x="0" y="0"/>
          <wp:positionH relativeFrom="column">
            <wp:posOffset>-1081405</wp:posOffset>
          </wp:positionH>
          <wp:positionV relativeFrom="paragraph">
            <wp:posOffset>-721995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F77268DC"/>
    <w:lvl w:ilvl="0" w:tplc="54FA6C3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8638A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1F735E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B3E58"/>
    <w:rsid w:val="002C49AE"/>
    <w:rsid w:val="002C6F6B"/>
    <w:rsid w:val="002D4649"/>
    <w:rsid w:val="002D695E"/>
    <w:rsid w:val="002E70DB"/>
    <w:rsid w:val="002F08B9"/>
    <w:rsid w:val="00301708"/>
    <w:rsid w:val="00324B65"/>
    <w:rsid w:val="00326DD7"/>
    <w:rsid w:val="0032768C"/>
    <w:rsid w:val="00327876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4517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620F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23C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4964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31A3F"/>
    <w:rsid w:val="00A61063"/>
    <w:rsid w:val="00A675C5"/>
    <w:rsid w:val="00A75952"/>
    <w:rsid w:val="00A847B2"/>
    <w:rsid w:val="00A9012B"/>
    <w:rsid w:val="00AA52A4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4680B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360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1248F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279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1248F"/>
    <w:pPr>
      <w:keepNext/>
      <w:keepLines/>
      <w:spacing w:after="120"/>
      <w:outlineLvl w:val="0"/>
    </w:pPr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248F"/>
    <w:pPr>
      <w:keepNext/>
      <w:keepLines/>
      <w:spacing w:before="40" w:after="0"/>
      <w:outlineLvl w:val="1"/>
    </w:pPr>
    <w:rPr>
      <w:rFonts w:ascii="Noto Sans" w:eastAsiaTheme="majorEastAsia" w:hAnsi="Noto Sans" w:cs="Noto Sans"/>
      <w:b/>
      <w:caps/>
      <w:color w:val="B38E5D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248F"/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E1248F"/>
    <w:rPr>
      <w:rFonts w:ascii="Noto Sans" w:eastAsiaTheme="majorEastAsia" w:hAnsi="Noto Sans" w:cs="Noto Sans"/>
      <w:b/>
      <w:caps/>
      <w:color w:val="B38E5D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9620F"/>
    <w:pPr>
      <w:spacing w:before="240" w:after="240" w:line="360" w:lineRule="auto"/>
    </w:pPr>
    <w:rPr>
      <w:rFonts w:ascii="Noto Sans" w:hAnsi="Noto Sans" w:cs="Noto Sans"/>
      <w:sz w:val="20"/>
      <w:szCs w:val="24"/>
    </w:rPr>
  </w:style>
  <w:style w:type="paragraph" w:customStyle="1" w:styleId="Vietas">
    <w:name w:val="Viñetas"/>
    <w:basedOn w:val="Contenido1"/>
    <w:qFormat/>
    <w:rsid w:val="0059620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D468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3</cp:revision>
  <cp:lastPrinted>2025-06-02T15:30:00Z</cp:lastPrinted>
  <dcterms:created xsi:type="dcterms:W3CDTF">2025-06-02T15:30:00Z</dcterms:created>
  <dcterms:modified xsi:type="dcterms:W3CDTF">2025-06-02T15:30:00Z</dcterms:modified>
</cp:coreProperties>
</file>