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CDEF2" w14:textId="77777777" w:rsidR="00EA5CB0" w:rsidRPr="001D4B36" w:rsidRDefault="00EA5CB0" w:rsidP="00C14E50">
      <w:pPr>
        <w:pStyle w:val="Ttulo1"/>
      </w:pPr>
      <w:r w:rsidRPr="001D4B36">
        <w:t xml:space="preserve">6. Presentación por la persona Titular del CPI del análisis autocrítico del estado que guarda éste en términos de los logros obtenidos en la administración 2019-2024, así como el balance de las capacidades, desafíos y áreas de oportunidad para articularse al </w:t>
      </w:r>
      <w:r w:rsidRPr="001D4B36">
        <w:rPr>
          <w:i/>
          <w:iCs/>
        </w:rPr>
        <w:t xml:space="preserve">Sistema Nacional de Centros Públicos </w:t>
      </w:r>
      <w:r w:rsidRPr="001D4B36">
        <w:t xml:space="preserve">(SNCP). </w:t>
      </w:r>
    </w:p>
    <w:p w14:paraId="12582D3D" w14:textId="77777777" w:rsidR="001D4B36" w:rsidRPr="001D4B36" w:rsidRDefault="001D4B36" w:rsidP="006F7F68">
      <w:pPr>
        <w:pStyle w:val="paragraph"/>
        <w:spacing w:before="0" w:beforeAutospacing="0" w:after="80" w:afterAutospacing="0" w:line="240" w:lineRule="atLeast"/>
        <w:jc w:val="both"/>
        <w:textAlignment w:val="baseline"/>
        <w:rPr>
          <w:rFonts w:ascii="Noto Sans" w:eastAsiaTheme="majorEastAsia" w:hAnsi="Noto Sans" w:cs="Noto Sans"/>
          <w:color w:val="FF0000"/>
          <w:sz w:val="20"/>
          <w:szCs w:val="20"/>
          <w:highlight w:val="yellow"/>
        </w:rPr>
      </w:pPr>
    </w:p>
    <w:p w14:paraId="26BB5ABC" w14:textId="5655110E" w:rsidR="00EA5CB0" w:rsidRPr="00E6093A" w:rsidRDefault="00E6093A" w:rsidP="00C14E50">
      <w:pPr>
        <w:pStyle w:val="Negritas"/>
      </w:pPr>
      <w:r w:rsidRPr="00E6093A">
        <w:t xml:space="preserve">Antecedentes </w:t>
      </w:r>
    </w:p>
    <w:p w14:paraId="78951F77" w14:textId="77777777" w:rsidR="00624EE5" w:rsidRPr="001D4B36" w:rsidRDefault="00624EE5" w:rsidP="00C14E50">
      <w:pPr>
        <w:pStyle w:val="Contenido1"/>
        <w:rPr>
          <w:rStyle w:val="normaltextrun"/>
          <w:rFonts w:eastAsiaTheme="majorEastAsia" w:cs="Noto Sans"/>
          <w:szCs w:val="20"/>
        </w:rPr>
      </w:pPr>
      <w:r w:rsidRPr="001D4B36">
        <w:rPr>
          <w:rStyle w:val="normaltextrun"/>
          <w:rFonts w:eastAsiaTheme="majorEastAsia" w:cs="Noto Sans"/>
          <w:szCs w:val="20"/>
        </w:rPr>
        <w:t>Con la experiencia del año 2023 se afinaron los criterios de asignación del presupuesto y se realizaron las gestiones para lograr apoyos adicionales en el 2024. Se aprovecharon las oportunidades para mejorar el salario del personal administrativos (asistentes) y de apoyo.</w:t>
      </w:r>
    </w:p>
    <w:p w14:paraId="1708A76E" w14:textId="58541C70" w:rsidR="00624EE5" w:rsidRPr="001D4B36" w:rsidRDefault="00624EE5" w:rsidP="00C14E50">
      <w:pPr>
        <w:pStyle w:val="Contenido1"/>
      </w:pPr>
      <w:r w:rsidRPr="001D4B36">
        <w:rPr>
          <w:rStyle w:val="normaltextrun"/>
          <w:rFonts w:eastAsiaTheme="majorEastAsia" w:cs="Noto Sans"/>
          <w:szCs w:val="20"/>
        </w:rPr>
        <w:t xml:space="preserve"> </w:t>
      </w:r>
      <w:r w:rsidRPr="001D4B36">
        <w:t xml:space="preserve">El ejercicio de presupuesto tuvo una variación del 16.3%, y se aplicaron 12 millones de pesos en necesidades de mantenimiento (en inmuebles el 66 por ciento y equipos de laboratorio el 3 por ciento). </w:t>
      </w:r>
      <w:r w:rsidRPr="001D4B36">
        <w:rPr>
          <w:rStyle w:val="normaltextrun"/>
          <w:rFonts w:eastAsiaTheme="majorEastAsia" w:cs="Noto Sans"/>
          <w:szCs w:val="20"/>
        </w:rPr>
        <w:t xml:space="preserve">La proporción del presupuesto del INECOL es un 70% a salarios y el 30% a operación que limita las actividades de la institución. </w:t>
      </w:r>
      <w:r w:rsidRPr="001D4B36">
        <w:t xml:space="preserve">Registró y llevó a cabo el control de ingresos fiscales y propios por $561,136,127.97 para hacer frente a los egresos autorizados. Llevó a cabo 19 procesos de contratación mayores que se detallan en el cuadro siguiente: </w:t>
      </w:r>
    </w:p>
    <w:tbl>
      <w:tblPr>
        <w:tblW w:w="5639" w:type="dxa"/>
        <w:jc w:val="center"/>
        <w:tblCellMar>
          <w:left w:w="70" w:type="dxa"/>
          <w:right w:w="70" w:type="dxa"/>
        </w:tblCellMar>
        <w:tblLook w:val="04A0" w:firstRow="1" w:lastRow="0" w:firstColumn="1" w:lastColumn="0" w:noHBand="0" w:noVBand="1"/>
      </w:tblPr>
      <w:tblGrid>
        <w:gridCol w:w="1424"/>
        <w:gridCol w:w="740"/>
        <w:gridCol w:w="3475"/>
      </w:tblGrid>
      <w:tr w:rsidR="00624EE5" w:rsidRPr="00C14E50" w14:paraId="385A278D" w14:textId="77777777" w:rsidTr="00C14E50">
        <w:trPr>
          <w:trHeight w:val="154"/>
          <w:jc w:val="center"/>
        </w:trPr>
        <w:tc>
          <w:tcPr>
            <w:tcW w:w="1424" w:type="dxa"/>
            <w:vMerge w:val="restart"/>
            <w:tcBorders>
              <w:top w:val="single" w:sz="4" w:space="0" w:color="auto"/>
              <w:left w:val="single" w:sz="4" w:space="0" w:color="auto"/>
              <w:bottom w:val="single" w:sz="4" w:space="0" w:color="000000"/>
              <w:right w:val="single" w:sz="4" w:space="0" w:color="auto"/>
            </w:tcBorders>
            <w:shd w:val="clear" w:color="auto" w:fill="D9E2F3" w:themeFill="accent1" w:themeFillTint="33"/>
            <w:noWrap/>
            <w:vAlign w:val="center"/>
            <w:hideMark/>
          </w:tcPr>
          <w:p w14:paraId="420BEF0B"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r w:rsidRPr="00C14E50">
              <w:rPr>
                <w:rFonts w:ascii="Noto Sans" w:eastAsia="Times New Roman" w:hAnsi="Noto Sans" w:cs="Noto Sans"/>
                <w:b/>
                <w:bCs/>
                <w:color w:val="000000"/>
                <w:szCs w:val="18"/>
                <w:lang w:eastAsia="es-MX"/>
              </w:rPr>
              <w:t>Licitaciones</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5EDE48CB"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5</w:t>
            </w:r>
          </w:p>
        </w:tc>
        <w:tc>
          <w:tcPr>
            <w:tcW w:w="3475"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109B7EBF"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Boletos de avión</w:t>
            </w:r>
          </w:p>
        </w:tc>
      </w:tr>
      <w:tr w:rsidR="00624EE5" w:rsidRPr="00C14E50" w14:paraId="372B4A51" w14:textId="77777777" w:rsidTr="00C14E50">
        <w:trPr>
          <w:trHeight w:val="143"/>
          <w:jc w:val="center"/>
        </w:trPr>
        <w:tc>
          <w:tcPr>
            <w:tcW w:w="1424" w:type="dxa"/>
            <w:vMerge/>
            <w:tcBorders>
              <w:top w:val="single" w:sz="4" w:space="0" w:color="auto"/>
              <w:left w:val="single" w:sz="4" w:space="0" w:color="auto"/>
              <w:bottom w:val="single" w:sz="4" w:space="0" w:color="000000"/>
              <w:right w:val="single" w:sz="4" w:space="0" w:color="auto"/>
            </w:tcBorders>
            <w:shd w:val="clear" w:color="auto" w:fill="D9E2F3" w:themeFill="accent1" w:themeFillTint="33"/>
            <w:vAlign w:val="center"/>
            <w:hideMark/>
          </w:tcPr>
          <w:p w14:paraId="75AC0E9B"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74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4B94DF6"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D9E2F3" w:themeFill="accent1" w:themeFillTint="33"/>
            <w:noWrap/>
            <w:vAlign w:val="bottom"/>
            <w:hideMark/>
          </w:tcPr>
          <w:p w14:paraId="33F0C7BC"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Arrendamiento de vehículo</w:t>
            </w:r>
          </w:p>
        </w:tc>
      </w:tr>
      <w:tr w:rsidR="00624EE5" w:rsidRPr="00C14E50" w14:paraId="3B0A12B2" w14:textId="77777777" w:rsidTr="00C14E50">
        <w:trPr>
          <w:trHeight w:val="154"/>
          <w:jc w:val="center"/>
        </w:trPr>
        <w:tc>
          <w:tcPr>
            <w:tcW w:w="1424" w:type="dxa"/>
            <w:vMerge/>
            <w:tcBorders>
              <w:top w:val="single" w:sz="4" w:space="0" w:color="auto"/>
              <w:left w:val="single" w:sz="4" w:space="0" w:color="auto"/>
              <w:bottom w:val="single" w:sz="4" w:space="0" w:color="000000"/>
              <w:right w:val="single" w:sz="4" w:space="0" w:color="auto"/>
            </w:tcBorders>
            <w:shd w:val="clear" w:color="auto" w:fill="D9E2F3" w:themeFill="accent1" w:themeFillTint="33"/>
            <w:vAlign w:val="center"/>
            <w:hideMark/>
          </w:tcPr>
          <w:p w14:paraId="12CEE929"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74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6D3744E"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D9E2F3" w:themeFill="accent1" w:themeFillTint="33"/>
            <w:noWrap/>
            <w:vAlign w:val="bottom"/>
            <w:hideMark/>
          </w:tcPr>
          <w:p w14:paraId="1921A6D6"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Supervisión ambiental</w:t>
            </w:r>
          </w:p>
        </w:tc>
      </w:tr>
      <w:tr w:rsidR="00624EE5" w:rsidRPr="00C14E50" w14:paraId="75E3A3D5" w14:textId="77777777" w:rsidTr="00C14E50">
        <w:trPr>
          <w:trHeight w:val="154"/>
          <w:jc w:val="center"/>
        </w:trPr>
        <w:tc>
          <w:tcPr>
            <w:tcW w:w="1424" w:type="dxa"/>
            <w:vMerge/>
            <w:tcBorders>
              <w:top w:val="single" w:sz="4" w:space="0" w:color="auto"/>
              <w:left w:val="single" w:sz="4" w:space="0" w:color="auto"/>
              <w:bottom w:val="single" w:sz="4" w:space="0" w:color="000000"/>
              <w:right w:val="single" w:sz="4" w:space="0" w:color="auto"/>
            </w:tcBorders>
            <w:shd w:val="clear" w:color="auto" w:fill="D9E2F3" w:themeFill="accent1" w:themeFillTint="33"/>
            <w:vAlign w:val="center"/>
            <w:hideMark/>
          </w:tcPr>
          <w:p w14:paraId="0C7BFDED"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74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BC9169D"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D9E2F3" w:themeFill="accent1" w:themeFillTint="33"/>
            <w:noWrap/>
            <w:vAlign w:val="bottom"/>
            <w:hideMark/>
          </w:tcPr>
          <w:p w14:paraId="3C752A46"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Supervisión Forestal</w:t>
            </w:r>
          </w:p>
        </w:tc>
      </w:tr>
      <w:tr w:rsidR="00624EE5" w:rsidRPr="00C14E50" w14:paraId="49CC3BF3" w14:textId="77777777" w:rsidTr="00C14E50">
        <w:trPr>
          <w:trHeight w:val="154"/>
          <w:jc w:val="center"/>
        </w:trPr>
        <w:tc>
          <w:tcPr>
            <w:tcW w:w="1424" w:type="dxa"/>
            <w:vMerge/>
            <w:tcBorders>
              <w:top w:val="single" w:sz="4" w:space="0" w:color="auto"/>
              <w:left w:val="single" w:sz="4" w:space="0" w:color="auto"/>
              <w:bottom w:val="single" w:sz="4" w:space="0" w:color="000000"/>
              <w:right w:val="single" w:sz="4" w:space="0" w:color="auto"/>
            </w:tcBorders>
            <w:shd w:val="clear" w:color="auto" w:fill="D9E2F3" w:themeFill="accent1" w:themeFillTint="33"/>
            <w:vAlign w:val="center"/>
            <w:hideMark/>
          </w:tcPr>
          <w:p w14:paraId="39110B81"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74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DF327B5"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D9E2F3" w:themeFill="accent1" w:themeFillTint="33"/>
            <w:noWrap/>
            <w:vAlign w:val="bottom"/>
            <w:hideMark/>
          </w:tcPr>
          <w:p w14:paraId="54472E68"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Mantenimiento preventivo de vehículos</w:t>
            </w:r>
          </w:p>
        </w:tc>
      </w:tr>
      <w:tr w:rsidR="00624EE5" w:rsidRPr="00C14E50" w14:paraId="25BCB278" w14:textId="77777777" w:rsidTr="00C14E50">
        <w:trPr>
          <w:trHeight w:val="154"/>
          <w:jc w:val="center"/>
        </w:trPr>
        <w:tc>
          <w:tcPr>
            <w:tcW w:w="1424" w:type="dxa"/>
            <w:vMerge w:val="restart"/>
            <w:tcBorders>
              <w:top w:val="nil"/>
              <w:left w:val="single" w:sz="4" w:space="0" w:color="auto"/>
              <w:bottom w:val="single" w:sz="4" w:space="0" w:color="000000"/>
              <w:right w:val="single" w:sz="4" w:space="0" w:color="auto"/>
            </w:tcBorders>
            <w:shd w:val="clear" w:color="auto" w:fill="E2EFD9" w:themeFill="accent6" w:themeFillTint="33"/>
            <w:noWrap/>
            <w:vAlign w:val="center"/>
            <w:hideMark/>
          </w:tcPr>
          <w:p w14:paraId="3B24AFE5"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r w:rsidRPr="00C14E50">
              <w:rPr>
                <w:rFonts w:ascii="Noto Sans" w:eastAsia="Times New Roman" w:hAnsi="Noto Sans" w:cs="Noto Sans"/>
                <w:b/>
                <w:bCs/>
                <w:color w:val="000000"/>
                <w:szCs w:val="18"/>
                <w:lang w:eastAsia="es-MX"/>
              </w:rPr>
              <w:t>Invitaciones a 3 o más</w:t>
            </w:r>
          </w:p>
        </w:tc>
        <w:tc>
          <w:tcPr>
            <w:tcW w:w="740" w:type="dxa"/>
            <w:vMerge w:val="restart"/>
            <w:tcBorders>
              <w:top w:val="nil"/>
              <w:left w:val="single" w:sz="4" w:space="0" w:color="auto"/>
              <w:bottom w:val="single" w:sz="4" w:space="0" w:color="auto"/>
              <w:right w:val="single" w:sz="4" w:space="0" w:color="auto"/>
            </w:tcBorders>
            <w:shd w:val="clear" w:color="auto" w:fill="E2EFD9" w:themeFill="accent6" w:themeFillTint="33"/>
            <w:noWrap/>
            <w:vAlign w:val="center"/>
            <w:hideMark/>
          </w:tcPr>
          <w:p w14:paraId="097CBD23"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4</w:t>
            </w:r>
          </w:p>
        </w:tc>
        <w:tc>
          <w:tcPr>
            <w:tcW w:w="3475" w:type="dxa"/>
            <w:tcBorders>
              <w:top w:val="nil"/>
              <w:left w:val="nil"/>
              <w:bottom w:val="single" w:sz="4" w:space="0" w:color="auto"/>
              <w:right w:val="single" w:sz="4" w:space="0" w:color="auto"/>
            </w:tcBorders>
            <w:shd w:val="clear" w:color="auto" w:fill="E2EFD9" w:themeFill="accent6" w:themeFillTint="33"/>
            <w:noWrap/>
            <w:vAlign w:val="bottom"/>
            <w:hideMark/>
          </w:tcPr>
          <w:p w14:paraId="11708C22"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 xml:space="preserve">Garantía </w:t>
            </w:r>
            <w:proofErr w:type="spellStart"/>
            <w:r w:rsidRPr="00C14E50">
              <w:rPr>
                <w:rFonts w:ascii="Noto Sans" w:eastAsia="Times New Roman" w:hAnsi="Noto Sans" w:cs="Noto Sans"/>
                <w:color w:val="000000"/>
                <w:szCs w:val="18"/>
                <w:lang w:eastAsia="es-MX"/>
              </w:rPr>
              <w:t>propsuport</w:t>
            </w:r>
            <w:proofErr w:type="spellEnd"/>
          </w:p>
        </w:tc>
      </w:tr>
      <w:tr w:rsidR="00624EE5" w:rsidRPr="00C14E50" w14:paraId="4897152C" w14:textId="77777777" w:rsidTr="00C14E50">
        <w:trPr>
          <w:trHeight w:val="154"/>
          <w:jc w:val="center"/>
        </w:trPr>
        <w:tc>
          <w:tcPr>
            <w:tcW w:w="1424" w:type="dxa"/>
            <w:vMerge/>
            <w:tcBorders>
              <w:top w:val="nil"/>
              <w:left w:val="single" w:sz="4" w:space="0" w:color="auto"/>
              <w:bottom w:val="single" w:sz="4" w:space="0" w:color="000000"/>
              <w:right w:val="single" w:sz="4" w:space="0" w:color="auto"/>
            </w:tcBorders>
            <w:shd w:val="clear" w:color="auto" w:fill="E2EFD9" w:themeFill="accent6" w:themeFillTint="33"/>
            <w:vAlign w:val="center"/>
            <w:hideMark/>
          </w:tcPr>
          <w:p w14:paraId="53176F53"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740" w:type="dxa"/>
            <w:vMerge/>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451692CD"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E2EFD9" w:themeFill="accent6" w:themeFillTint="33"/>
            <w:noWrap/>
            <w:vAlign w:val="bottom"/>
            <w:hideMark/>
          </w:tcPr>
          <w:p w14:paraId="0E0A9F89"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Servidores y accesorios de computo</w:t>
            </w:r>
          </w:p>
        </w:tc>
      </w:tr>
      <w:tr w:rsidR="00624EE5" w:rsidRPr="00C14E50" w14:paraId="5F86A80B" w14:textId="77777777" w:rsidTr="00C14E50">
        <w:trPr>
          <w:trHeight w:val="211"/>
          <w:jc w:val="center"/>
        </w:trPr>
        <w:tc>
          <w:tcPr>
            <w:tcW w:w="1424" w:type="dxa"/>
            <w:vMerge/>
            <w:tcBorders>
              <w:top w:val="nil"/>
              <w:left w:val="single" w:sz="4" w:space="0" w:color="auto"/>
              <w:bottom w:val="single" w:sz="4" w:space="0" w:color="000000"/>
              <w:right w:val="single" w:sz="4" w:space="0" w:color="auto"/>
            </w:tcBorders>
            <w:shd w:val="clear" w:color="auto" w:fill="E2EFD9" w:themeFill="accent6" w:themeFillTint="33"/>
            <w:vAlign w:val="center"/>
            <w:hideMark/>
          </w:tcPr>
          <w:p w14:paraId="671420FC"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740" w:type="dxa"/>
            <w:vMerge/>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0A4241E3"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E2EFD9" w:themeFill="accent6" w:themeFillTint="33"/>
            <w:noWrap/>
            <w:vAlign w:val="bottom"/>
            <w:hideMark/>
          </w:tcPr>
          <w:p w14:paraId="2AE648E1"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Equipo USPAE</w:t>
            </w:r>
          </w:p>
        </w:tc>
      </w:tr>
      <w:tr w:rsidR="00624EE5" w:rsidRPr="00C14E50" w14:paraId="1F77802F" w14:textId="77777777" w:rsidTr="00C14E50">
        <w:trPr>
          <w:trHeight w:val="237"/>
          <w:jc w:val="center"/>
        </w:trPr>
        <w:tc>
          <w:tcPr>
            <w:tcW w:w="1424" w:type="dxa"/>
            <w:vMerge/>
            <w:tcBorders>
              <w:top w:val="nil"/>
              <w:left w:val="single" w:sz="4" w:space="0" w:color="auto"/>
              <w:bottom w:val="single" w:sz="4" w:space="0" w:color="000000"/>
              <w:right w:val="single" w:sz="4" w:space="0" w:color="auto"/>
            </w:tcBorders>
            <w:shd w:val="clear" w:color="auto" w:fill="E2EFD9" w:themeFill="accent6" w:themeFillTint="33"/>
            <w:vAlign w:val="center"/>
            <w:hideMark/>
          </w:tcPr>
          <w:p w14:paraId="4BE992B3"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740" w:type="dxa"/>
            <w:vMerge/>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5AADBBA9"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E2EFD9" w:themeFill="accent6" w:themeFillTint="33"/>
            <w:noWrap/>
            <w:vAlign w:val="bottom"/>
            <w:hideMark/>
          </w:tcPr>
          <w:p w14:paraId="56052C0B"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Construcción almacén químicos</w:t>
            </w:r>
          </w:p>
        </w:tc>
      </w:tr>
      <w:tr w:rsidR="00624EE5" w:rsidRPr="00C14E50" w14:paraId="59E44DCF" w14:textId="77777777" w:rsidTr="00C14E50">
        <w:trPr>
          <w:trHeight w:val="154"/>
          <w:jc w:val="center"/>
        </w:trPr>
        <w:tc>
          <w:tcPr>
            <w:tcW w:w="1424" w:type="dxa"/>
            <w:vMerge w:val="restart"/>
            <w:tcBorders>
              <w:top w:val="nil"/>
              <w:left w:val="single" w:sz="4" w:space="0" w:color="auto"/>
              <w:bottom w:val="single" w:sz="4" w:space="0" w:color="000000"/>
              <w:right w:val="single" w:sz="4" w:space="0" w:color="auto"/>
            </w:tcBorders>
            <w:shd w:val="clear" w:color="auto" w:fill="FFCC99"/>
            <w:noWrap/>
            <w:vAlign w:val="center"/>
            <w:hideMark/>
          </w:tcPr>
          <w:p w14:paraId="467D4AEA"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r w:rsidRPr="00C14E50">
              <w:rPr>
                <w:rFonts w:ascii="Noto Sans" w:eastAsia="Times New Roman" w:hAnsi="Noto Sans" w:cs="Noto Sans"/>
                <w:b/>
                <w:bCs/>
                <w:color w:val="000000"/>
                <w:szCs w:val="18"/>
                <w:lang w:eastAsia="es-MX"/>
              </w:rPr>
              <w:t>Contrato marco</w:t>
            </w:r>
          </w:p>
        </w:tc>
        <w:tc>
          <w:tcPr>
            <w:tcW w:w="740" w:type="dxa"/>
            <w:vMerge w:val="restart"/>
            <w:tcBorders>
              <w:top w:val="nil"/>
              <w:left w:val="single" w:sz="4" w:space="0" w:color="auto"/>
              <w:bottom w:val="single" w:sz="4" w:space="0" w:color="auto"/>
              <w:right w:val="single" w:sz="4" w:space="0" w:color="auto"/>
            </w:tcBorders>
            <w:shd w:val="clear" w:color="auto" w:fill="FFCC99"/>
            <w:noWrap/>
            <w:vAlign w:val="center"/>
            <w:hideMark/>
          </w:tcPr>
          <w:p w14:paraId="4FAFC38E"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3</w:t>
            </w:r>
          </w:p>
        </w:tc>
        <w:tc>
          <w:tcPr>
            <w:tcW w:w="3475" w:type="dxa"/>
            <w:tcBorders>
              <w:top w:val="nil"/>
              <w:left w:val="nil"/>
              <w:bottom w:val="single" w:sz="4" w:space="0" w:color="auto"/>
              <w:right w:val="single" w:sz="4" w:space="0" w:color="auto"/>
            </w:tcBorders>
            <w:shd w:val="clear" w:color="auto" w:fill="FFCC99"/>
            <w:noWrap/>
            <w:vAlign w:val="bottom"/>
            <w:hideMark/>
          </w:tcPr>
          <w:p w14:paraId="24EE028B"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Fumigación</w:t>
            </w:r>
          </w:p>
        </w:tc>
      </w:tr>
      <w:tr w:rsidR="00624EE5" w:rsidRPr="00C14E50" w14:paraId="051E464A" w14:textId="77777777" w:rsidTr="00C14E50">
        <w:trPr>
          <w:trHeight w:val="154"/>
          <w:jc w:val="center"/>
        </w:trPr>
        <w:tc>
          <w:tcPr>
            <w:tcW w:w="1424" w:type="dxa"/>
            <w:vMerge/>
            <w:tcBorders>
              <w:top w:val="nil"/>
              <w:left w:val="single" w:sz="4" w:space="0" w:color="auto"/>
              <w:bottom w:val="single" w:sz="4" w:space="0" w:color="000000"/>
              <w:right w:val="single" w:sz="4" w:space="0" w:color="auto"/>
            </w:tcBorders>
            <w:shd w:val="clear" w:color="auto" w:fill="FFCC99"/>
            <w:vAlign w:val="center"/>
            <w:hideMark/>
          </w:tcPr>
          <w:p w14:paraId="2689EAB2"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740" w:type="dxa"/>
            <w:vMerge/>
            <w:tcBorders>
              <w:top w:val="nil"/>
              <w:left w:val="single" w:sz="4" w:space="0" w:color="auto"/>
              <w:bottom w:val="single" w:sz="4" w:space="0" w:color="auto"/>
              <w:right w:val="single" w:sz="4" w:space="0" w:color="auto"/>
            </w:tcBorders>
            <w:shd w:val="clear" w:color="auto" w:fill="FFCC99"/>
            <w:vAlign w:val="center"/>
            <w:hideMark/>
          </w:tcPr>
          <w:p w14:paraId="13FD891B"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FFCC99"/>
            <w:noWrap/>
            <w:vAlign w:val="bottom"/>
            <w:hideMark/>
          </w:tcPr>
          <w:p w14:paraId="00818D81"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Internet corporativo</w:t>
            </w:r>
          </w:p>
        </w:tc>
      </w:tr>
      <w:tr w:rsidR="00624EE5" w:rsidRPr="00C14E50" w14:paraId="46810B82" w14:textId="77777777" w:rsidTr="00C14E50">
        <w:trPr>
          <w:trHeight w:val="260"/>
          <w:jc w:val="center"/>
        </w:trPr>
        <w:tc>
          <w:tcPr>
            <w:tcW w:w="1424" w:type="dxa"/>
            <w:vMerge/>
            <w:tcBorders>
              <w:top w:val="nil"/>
              <w:left w:val="single" w:sz="4" w:space="0" w:color="auto"/>
              <w:bottom w:val="single" w:sz="4" w:space="0" w:color="000000"/>
              <w:right w:val="single" w:sz="4" w:space="0" w:color="auto"/>
            </w:tcBorders>
            <w:shd w:val="clear" w:color="auto" w:fill="FFCC99"/>
            <w:vAlign w:val="center"/>
            <w:hideMark/>
          </w:tcPr>
          <w:p w14:paraId="757B2FBD"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740" w:type="dxa"/>
            <w:vMerge/>
            <w:tcBorders>
              <w:top w:val="nil"/>
              <w:left w:val="single" w:sz="4" w:space="0" w:color="auto"/>
              <w:bottom w:val="single" w:sz="4" w:space="0" w:color="auto"/>
              <w:right w:val="single" w:sz="4" w:space="0" w:color="auto"/>
            </w:tcBorders>
            <w:shd w:val="clear" w:color="auto" w:fill="FFCC99"/>
            <w:vAlign w:val="center"/>
            <w:hideMark/>
          </w:tcPr>
          <w:p w14:paraId="11E36D77"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FFCC99"/>
            <w:noWrap/>
            <w:vAlign w:val="bottom"/>
            <w:hideMark/>
          </w:tcPr>
          <w:p w14:paraId="5CEB35EF"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Arrendamiento equipo de computo</w:t>
            </w:r>
          </w:p>
        </w:tc>
      </w:tr>
      <w:tr w:rsidR="00624EE5" w:rsidRPr="00C14E50" w14:paraId="49ABA64F" w14:textId="77777777" w:rsidTr="00C14E50">
        <w:trPr>
          <w:trHeight w:val="154"/>
          <w:jc w:val="center"/>
        </w:trPr>
        <w:tc>
          <w:tcPr>
            <w:tcW w:w="1424" w:type="dxa"/>
            <w:vMerge w:val="restart"/>
            <w:tcBorders>
              <w:top w:val="nil"/>
              <w:left w:val="single" w:sz="4" w:space="0" w:color="auto"/>
              <w:bottom w:val="single" w:sz="4" w:space="0" w:color="000000"/>
              <w:right w:val="single" w:sz="4" w:space="0" w:color="auto"/>
            </w:tcBorders>
            <w:shd w:val="clear" w:color="auto" w:fill="D0CECE" w:themeFill="background2" w:themeFillShade="E6"/>
            <w:noWrap/>
            <w:vAlign w:val="center"/>
            <w:hideMark/>
          </w:tcPr>
          <w:p w14:paraId="5FA35377" w14:textId="77777777" w:rsidR="00624EE5" w:rsidRPr="00C14E50" w:rsidRDefault="00624EE5" w:rsidP="00624EE5">
            <w:pPr>
              <w:spacing w:before="0" w:after="0" w:line="240" w:lineRule="atLeast"/>
              <w:jc w:val="center"/>
              <w:rPr>
                <w:rFonts w:ascii="Noto Sans" w:eastAsia="Times New Roman" w:hAnsi="Noto Sans" w:cs="Noto Sans"/>
                <w:b/>
                <w:bCs/>
                <w:color w:val="000000"/>
                <w:szCs w:val="18"/>
                <w:lang w:eastAsia="es-MX"/>
              </w:rPr>
            </w:pPr>
            <w:r w:rsidRPr="00C14E50">
              <w:rPr>
                <w:rFonts w:ascii="Noto Sans" w:eastAsia="Times New Roman" w:hAnsi="Noto Sans" w:cs="Noto Sans"/>
                <w:b/>
                <w:bCs/>
                <w:color w:val="000000"/>
                <w:szCs w:val="18"/>
                <w:lang w:eastAsia="es-MX"/>
              </w:rPr>
              <w:t>Contrataciones consolidadas</w:t>
            </w:r>
          </w:p>
        </w:tc>
        <w:tc>
          <w:tcPr>
            <w:tcW w:w="740" w:type="dxa"/>
            <w:vMerge w:val="restart"/>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14:paraId="17C5E2E3" w14:textId="77777777" w:rsidR="00624EE5" w:rsidRPr="00C14E50" w:rsidRDefault="00624EE5" w:rsidP="00624EE5">
            <w:pPr>
              <w:spacing w:before="0" w:after="0" w:line="240" w:lineRule="atLeast"/>
              <w:jc w:val="center"/>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6</w:t>
            </w:r>
          </w:p>
        </w:tc>
        <w:tc>
          <w:tcPr>
            <w:tcW w:w="3475" w:type="dxa"/>
            <w:tcBorders>
              <w:top w:val="nil"/>
              <w:left w:val="nil"/>
              <w:bottom w:val="single" w:sz="4" w:space="0" w:color="auto"/>
              <w:right w:val="single" w:sz="4" w:space="0" w:color="auto"/>
            </w:tcBorders>
            <w:shd w:val="clear" w:color="auto" w:fill="D0CECE" w:themeFill="background2" w:themeFillShade="E6"/>
            <w:noWrap/>
            <w:vAlign w:val="bottom"/>
            <w:hideMark/>
          </w:tcPr>
          <w:p w14:paraId="1D9DCC19"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Combustible</w:t>
            </w:r>
          </w:p>
        </w:tc>
      </w:tr>
      <w:tr w:rsidR="00624EE5" w:rsidRPr="00C14E50" w14:paraId="0249EA6B" w14:textId="77777777" w:rsidTr="00C14E50">
        <w:trPr>
          <w:trHeight w:val="154"/>
          <w:jc w:val="center"/>
        </w:trPr>
        <w:tc>
          <w:tcPr>
            <w:tcW w:w="1424" w:type="dxa"/>
            <w:vMerge/>
            <w:tcBorders>
              <w:top w:val="nil"/>
              <w:left w:val="single" w:sz="4" w:space="0" w:color="auto"/>
              <w:bottom w:val="single" w:sz="4" w:space="0" w:color="000000"/>
              <w:right w:val="single" w:sz="4" w:space="0" w:color="auto"/>
            </w:tcBorders>
            <w:shd w:val="clear" w:color="auto" w:fill="D0CECE" w:themeFill="background2" w:themeFillShade="E6"/>
            <w:vAlign w:val="center"/>
            <w:hideMark/>
          </w:tcPr>
          <w:p w14:paraId="59180CA0"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p>
        </w:tc>
        <w:tc>
          <w:tcPr>
            <w:tcW w:w="740" w:type="dxa"/>
            <w:vMerge/>
            <w:tcBorders>
              <w:top w:val="nil"/>
              <w:left w:val="single" w:sz="4" w:space="0" w:color="auto"/>
              <w:bottom w:val="single" w:sz="4" w:space="0" w:color="auto"/>
              <w:right w:val="single" w:sz="4" w:space="0" w:color="auto"/>
            </w:tcBorders>
            <w:shd w:val="clear" w:color="auto" w:fill="D0CECE" w:themeFill="background2" w:themeFillShade="E6"/>
            <w:vAlign w:val="center"/>
            <w:hideMark/>
          </w:tcPr>
          <w:p w14:paraId="0AA92D7F"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D0CECE" w:themeFill="background2" w:themeFillShade="E6"/>
            <w:noWrap/>
            <w:vAlign w:val="bottom"/>
            <w:hideMark/>
          </w:tcPr>
          <w:p w14:paraId="17430CAC"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Vestuario</w:t>
            </w:r>
          </w:p>
        </w:tc>
      </w:tr>
      <w:tr w:rsidR="00624EE5" w:rsidRPr="00C14E50" w14:paraId="126A1A92" w14:textId="77777777" w:rsidTr="00C14E50">
        <w:trPr>
          <w:trHeight w:val="154"/>
          <w:jc w:val="center"/>
        </w:trPr>
        <w:tc>
          <w:tcPr>
            <w:tcW w:w="1424" w:type="dxa"/>
            <w:vMerge/>
            <w:tcBorders>
              <w:top w:val="nil"/>
              <w:left w:val="single" w:sz="4" w:space="0" w:color="auto"/>
              <w:bottom w:val="single" w:sz="4" w:space="0" w:color="000000"/>
              <w:right w:val="single" w:sz="4" w:space="0" w:color="auto"/>
            </w:tcBorders>
            <w:shd w:val="clear" w:color="auto" w:fill="D0CECE" w:themeFill="background2" w:themeFillShade="E6"/>
            <w:vAlign w:val="center"/>
            <w:hideMark/>
          </w:tcPr>
          <w:p w14:paraId="68B2CCBB"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p>
        </w:tc>
        <w:tc>
          <w:tcPr>
            <w:tcW w:w="740" w:type="dxa"/>
            <w:vMerge/>
            <w:tcBorders>
              <w:top w:val="nil"/>
              <w:left w:val="single" w:sz="4" w:space="0" w:color="auto"/>
              <w:bottom w:val="single" w:sz="4" w:space="0" w:color="auto"/>
              <w:right w:val="single" w:sz="4" w:space="0" w:color="auto"/>
            </w:tcBorders>
            <w:shd w:val="clear" w:color="auto" w:fill="D0CECE" w:themeFill="background2" w:themeFillShade="E6"/>
            <w:vAlign w:val="center"/>
            <w:hideMark/>
          </w:tcPr>
          <w:p w14:paraId="2E65152D"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D0CECE" w:themeFill="background2" w:themeFillShade="E6"/>
            <w:noWrap/>
            <w:vAlign w:val="bottom"/>
            <w:hideMark/>
          </w:tcPr>
          <w:p w14:paraId="76EA37C3"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Vales de despensa</w:t>
            </w:r>
          </w:p>
        </w:tc>
      </w:tr>
      <w:tr w:rsidR="00624EE5" w:rsidRPr="00C14E50" w14:paraId="28877F6D" w14:textId="77777777" w:rsidTr="00C14E50">
        <w:trPr>
          <w:trHeight w:val="154"/>
          <w:jc w:val="center"/>
        </w:trPr>
        <w:tc>
          <w:tcPr>
            <w:tcW w:w="1424" w:type="dxa"/>
            <w:vMerge/>
            <w:tcBorders>
              <w:top w:val="nil"/>
              <w:left w:val="single" w:sz="4" w:space="0" w:color="auto"/>
              <w:bottom w:val="single" w:sz="4" w:space="0" w:color="000000"/>
              <w:right w:val="single" w:sz="4" w:space="0" w:color="auto"/>
            </w:tcBorders>
            <w:shd w:val="clear" w:color="auto" w:fill="D0CECE" w:themeFill="background2" w:themeFillShade="E6"/>
            <w:vAlign w:val="center"/>
            <w:hideMark/>
          </w:tcPr>
          <w:p w14:paraId="0B8A07B8"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p>
        </w:tc>
        <w:tc>
          <w:tcPr>
            <w:tcW w:w="740" w:type="dxa"/>
            <w:vMerge/>
            <w:tcBorders>
              <w:top w:val="nil"/>
              <w:left w:val="single" w:sz="4" w:space="0" w:color="auto"/>
              <w:bottom w:val="single" w:sz="4" w:space="0" w:color="auto"/>
              <w:right w:val="single" w:sz="4" w:space="0" w:color="auto"/>
            </w:tcBorders>
            <w:shd w:val="clear" w:color="auto" w:fill="D0CECE" w:themeFill="background2" w:themeFillShade="E6"/>
            <w:vAlign w:val="center"/>
            <w:hideMark/>
          </w:tcPr>
          <w:p w14:paraId="4956C58E"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D0CECE" w:themeFill="background2" w:themeFillShade="E6"/>
            <w:noWrap/>
            <w:vAlign w:val="bottom"/>
            <w:hideMark/>
          </w:tcPr>
          <w:p w14:paraId="20E5BCC4"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Aseguramiento de bienes</w:t>
            </w:r>
          </w:p>
        </w:tc>
      </w:tr>
      <w:tr w:rsidR="00624EE5" w:rsidRPr="00C14E50" w14:paraId="7B4600BE" w14:textId="77777777" w:rsidTr="00C14E50">
        <w:trPr>
          <w:trHeight w:val="154"/>
          <w:jc w:val="center"/>
        </w:trPr>
        <w:tc>
          <w:tcPr>
            <w:tcW w:w="1424" w:type="dxa"/>
            <w:vMerge/>
            <w:tcBorders>
              <w:top w:val="nil"/>
              <w:left w:val="single" w:sz="4" w:space="0" w:color="auto"/>
              <w:bottom w:val="single" w:sz="4" w:space="0" w:color="000000"/>
              <w:right w:val="single" w:sz="4" w:space="0" w:color="auto"/>
            </w:tcBorders>
            <w:shd w:val="clear" w:color="auto" w:fill="D0CECE" w:themeFill="background2" w:themeFillShade="E6"/>
            <w:vAlign w:val="center"/>
            <w:hideMark/>
          </w:tcPr>
          <w:p w14:paraId="7130325D"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p>
        </w:tc>
        <w:tc>
          <w:tcPr>
            <w:tcW w:w="740" w:type="dxa"/>
            <w:vMerge/>
            <w:tcBorders>
              <w:top w:val="nil"/>
              <w:left w:val="single" w:sz="4" w:space="0" w:color="auto"/>
              <w:bottom w:val="single" w:sz="4" w:space="0" w:color="auto"/>
              <w:right w:val="single" w:sz="4" w:space="0" w:color="auto"/>
            </w:tcBorders>
            <w:shd w:val="clear" w:color="auto" w:fill="D0CECE" w:themeFill="background2" w:themeFillShade="E6"/>
            <w:vAlign w:val="center"/>
            <w:hideMark/>
          </w:tcPr>
          <w:p w14:paraId="61091BB6"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D0CECE" w:themeFill="background2" w:themeFillShade="E6"/>
            <w:noWrap/>
            <w:vAlign w:val="bottom"/>
            <w:hideMark/>
          </w:tcPr>
          <w:p w14:paraId="3578EDC2"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Aseguramiento vehicular</w:t>
            </w:r>
          </w:p>
        </w:tc>
      </w:tr>
      <w:tr w:rsidR="00624EE5" w:rsidRPr="00C14E50" w14:paraId="35355536" w14:textId="77777777" w:rsidTr="00C14E50">
        <w:trPr>
          <w:trHeight w:val="36"/>
          <w:jc w:val="center"/>
        </w:trPr>
        <w:tc>
          <w:tcPr>
            <w:tcW w:w="1424" w:type="dxa"/>
            <w:vMerge/>
            <w:tcBorders>
              <w:top w:val="nil"/>
              <w:left w:val="single" w:sz="4" w:space="0" w:color="auto"/>
              <w:bottom w:val="single" w:sz="4" w:space="0" w:color="000000"/>
              <w:right w:val="single" w:sz="4" w:space="0" w:color="auto"/>
            </w:tcBorders>
            <w:shd w:val="clear" w:color="auto" w:fill="D0CECE" w:themeFill="background2" w:themeFillShade="E6"/>
            <w:vAlign w:val="center"/>
            <w:hideMark/>
          </w:tcPr>
          <w:p w14:paraId="47976DFD"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p>
        </w:tc>
        <w:tc>
          <w:tcPr>
            <w:tcW w:w="740" w:type="dxa"/>
            <w:vMerge/>
            <w:tcBorders>
              <w:top w:val="nil"/>
              <w:left w:val="single" w:sz="4" w:space="0" w:color="auto"/>
              <w:bottom w:val="single" w:sz="4" w:space="0" w:color="auto"/>
              <w:right w:val="single" w:sz="4" w:space="0" w:color="auto"/>
            </w:tcBorders>
            <w:shd w:val="clear" w:color="auto" w:fill="D0CECE" w:themeFill="background2" w:themeFillShade="E6"/>
            <w:vAlign w:val="center"/>
            <w:hideMark/>
          </w:tcPr>
          <w:p w14:paraId="17634B38"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p>
        </w:tc>
        <w:tc>
          <w:tcPr>
            <w:tcW w:w="3475" w:type="dxa"/>
            <w:tcBorders>
              <w:top w:val="nil"/>
              <w:left w:val="nil"/>
              <w:bottom w:val="single" w:sz="4" w:space="0" w:color="auto"/>
              <w:right w:val="single" w:sz="4" w:space="0" w:color="auto"/>
            </w:tcBorders>
            <w:shd w:val="clear" w:color="auto" w:fill="D0CECE" w:themeFill="background2" w:themeFillShade="E6"/>
            <w:noWrap/>
            <w:vAlign w:val="bottom"/>
            <w:hideMark/>
          </w:tcPr>
          <w:p w14:paraId="574961AF" w14:textId="77777777" w:rsidR="00624EE5" w:rsidRPr="00C14E50" w:rsidRDefault="00624EE5" w:rsidP="00624EE5">
            <w:pPr>
              <w:spacing w:before="0" w:after="0" w:line="240" w:lineRule="atLeast"/>
              <w:rPr>
                <w:rFonts w:ascii="Noto Sans" w:eastAsia="Times New Roman" w:hAnsi="Noto Sans" w:cs="Noto Sans"/>
                <w:color w:val="000000"/>
                <w:szCs w:val="18"/>
                <w:lang w:eastAsia="es-MX"/>
              </w:rPr>
            </w:pPr>
            <w:r w:rsidRPr="00C14E50">
              <w:rPr>
                <w:rFonts w:ascii="Noto Sans" w:eastAsia="Times New Roman" w:hAnsi="Noto Sans" w:cs="Noto Sans"/>
                <w:color w:val="000000"/>
                <w:szCs w:val="18"/>
                <w:lang w:eastAsia="es-MX"/>
              </w:rPr>
              <w:t>Tienda digital/ almacén</w:t>
            </w:r>
          </w:p>
        </w:tc>
      </w:tr>
    </w:tbl>
    <w:p w14:paraId="5A12BBE7" w14:textId="77777777" w:rsidR="00624EE5" w:rsidRPr="001D4B36" w:rsidRDefault="00624EE5" w:rsidP="00624EE5">
      <w:pPr>
        <w:spacing w:line="240" w:lineRule="atLeast"/>
        <w:jc w:val="center"/>
        <w:rPr>
          <w:rFonts w:ascii="Noto Sans" w:hAnsi="Noto Sans" w:cs="Noto Sans"/>
          <w:sz w:val="20"/>
          <w:szCs w:val="20"/>
        </w:rPr>
      </w:pPr>
    </w:p>
    <w:p w14:paraId="197CAAA6" w14:textId="4C6C9CED" w:rsidR="00624EE5" w:rsidRPr="001D4B36" w:rsidRDefault="00624EE5" w:rsidP="00C14E50">
      <w:pPr>
        <w:pStyle w:val="Contenido1"/>
      </w:pPr>
      <w:r w:rsidRPr="001D4B36">
        <w:t xml:space="preserve">Además de organizar y dar seguimiento a 15 sesiones del Comité de Adquisiciones, Arrendamientos y Servicios (CAAS) y el Comité de Obra Pública (COP) en que se autorizaron 323 </w:t>
      </w:r>
      <w:r w:rsidRPr="001D4B36">
        <w:lastRenderedPageBreak/>
        <w:t>contratos. Se suman otros mecanismos para realizar compras y contratar los servicios que el INECOL necesita para su operación sustantiva y administrativa. Se presenta un detalle en los cuadros siguientes:</w:t>
      </w:r>
    </w:p>
    <w:tbl>
      <w:tblPr>
        <w:tblW w:w="6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2"/>
        <w:gridCol w:w="831"/>
        <w:gridCol w:w="3327"/>
        <w:gridCol w:w="1006"/>
      </w:tblGrid>
      <w:tr w:rsidR="00624EE5" w:rsidRPr="001D4B36" w14:paraId="42821A05" w14:textId="77777777" w:rsidTr="00624EE5">
        <w:trPr>
          <w:trHeight w:val="184"/>
          <w:jc w:val="center"/>
        </w:trPr>
        <w:tc>
          <w:tcPr>
            <w:tcW w:w="1382" w:type="dxa"/>
            <w:vMerge w:val="restart"/>
            <w:shd w:val="clear" w:color="auto" w:fill="657C9C" w:themeFill="text2" w:themeFillTint="BF"/>
            <w:noWrap/>
            <w:vAlign w:val="center"/>
            <w:hideMark/>
          </w:tcPr>
          <w:p w14:paraId="5EAB72DA"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CAAS</w:t>
            </w:r>
          </w:p>
        </w:tc>
        <w:tc>
          <w:tcPr>
            <w:tcW w:w="831" w:type="dxa"/>
            <w:vMerge w:val="restart"/>
            <w:shd w:val="clear" w:color="auto" w:fill="657C9C" w:themeFill="text2" w:themeFillTint="BF"/>
            <w:noWrap/>
            <w:vAlign w:val="center"/>
            <w:hideMark/>
          </w:tcPr>
          <w:p w14:paraId="7261F926"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18</w:t>
            </w:r>
          </w:p>
        </w:tc>
        <w:tc>
          <w:tcPr>
            <w:tcW w:w="3327" w:type="dxa"/>
            <w:shd w:val="clear" w:color="auto" w:fill="657C9C" w:themeFill="text2" w:themeFillTint="BF"/>
            <w:noWrap/>
            <w:vAlign w:val="center"/>
            <w:hideMark/>
          </w:tcPr>
          <w:p w14:paraId="33A00C7C" w14:textId="77777777" w:rsidR="00624EE5" w:rsidRPr="001D4B36" w:rsidRDefault="00624EE5" w:rsidP="00624EE5">
            <w:pPr>
              <w:spacing w:before="0" w:after="0" w:line="240" w:lineRule="atLeast"/>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Ordinarias</w:t>
            </w:r>
          </w:p>
        </w:tc>
        <w:tc>
          <w:tcPr>
            <w:tcW w:w="1006" w:type="dxa"/>
            <w:shd w:val="clear" w:color="auto" w:fill="657C9C" w:themeFill="text2" w:themeFillTint="BF"/>
            <w:noWrap/>
            <w:vAlign w:val="center"/>
            <w:hideMark/>
          </w:tcPr>
          <w:p w14:paraId="1E0BB742"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12</w:t>
            </w:r>
          </w:p>
        </w:tc>
      </w:tr>
      <w:tr w:rsidR="00624EE5" w:rsidRPr="001D4B36" w14:paraId="04849FF3" w14:textId="77777777" w:rsidTr="00624EE5">
        <w:trPr>
          <w:trHeight w:val="180"/>
          <w:jc w:val="center"/>
        </w:trPr>
        <w:tc>
          <w:tcPr>
            <w:tcW w:w="1382" w:type="dxa"/>
            <w:vMerge/>
            <w:shd w:val="clear" w:color="auto" w:fill="657C9C" w:themeFill="text2" w:themeFillTint="BF"/>
            <w:vAlign w:val="center"/>
            <w:hideMark/>
          </w:tcPr>
          <w:p w14:paraId="142D10C1"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p>
        </w:tc>
        <w:tc>
          <w:tcPr>
            <w:tcW w:w="831" w:type="dxa"/>
            <w:vMerge/>
            <w:shd w:val="clear" w:color="auto" w:fill="657C9C" w:themeFill="text2" w:themeFillTint="BF"/>
            <w:vAlign w:val="center"/>
            <w:hideMark/>
          </w:tcPr>
          <w:p w14:paraId="1FE874E9"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p>
        </w:tc>
        <w:tc>
          <w:tcPr>
            <w:tcW w:w="3327" w:type="dxa"/>
            <w:shd w:val="clear" w:color="auto" w:fill="657C9C" w:themeFill="text2" w:themeFillTint="BF"/>
            <w:noWrap/>
            <w:vAlign w:val="center"/>
            <w:hideMark/>
          </w:tcPr>
          <w:p w14:paraId="33D9DC59" w14:textId="77777777" w:rsidR="00624EE5" w:rsidRPr="001D4B36" w:rsidRDefault="00624EE5" w:rsidP="00624EE5">
            <w:pPr>
              <w:spacing w:before="0" w:after="0" w:line="240" w:lineRule="atLeast"/>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Extraordinarias</w:t>
            </w:r>
          </w:p>
        </w:tc>
        <w:tc>
          <w:tcPr>
            <w:tcW w:w="1006" w:type="dxa"/>
            <w:shd w:val="clear" w:color="auto" w:fill="657C9C" w:themeFill="text2" w:themeFillTint="BF"/>
            <w:noWrap/>
            <w:vAlign w:val="center"/>
            <w:hideMark/>
          </w:tcPr>
          <w:p w14:paraId="47E703AB"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6</w:t>
            </w:r>
          </w:p>
        </w:tc>
      </w:tr>
      <w:tr w:rsidR="00624EE5" w:rsidRPr="001D4B36" w14:paraId="61E97FED" w14:textId="77777777" w:rsidTr="00624EE5">
        <w:trPr>
          <w:trHeight w:val="182"/>
          <w:jc w:val="center"/>
        </w:trPr>
        <w:tc>
          <w:tcPr>
            <w:tcW w:w="1382" w:type="dxa"/>
            <w:vMerge w:val="restart"/>
            <w:shd w:val="clear" w:color="auto" w:fill="3B3838" w:themeFill="background2" w:themeFillShade="40"/>
            <w:noWrap/>
            <w:vAlign w:val="center"/>
            <w:hideMark/>
          </w:tcPr>
          <w:p w14:paraId="6EF8E52C"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COP</w:t>
            </w:r>
          </w:p>
        </w:tc>
        <w:tc>
          <w:tcPr>
            <w:tcW w:w="831" w:type="dxa"/>
            <w:vMerge w:val="restart"/>
            <w:shd w:val="clear" w:color="auto" w:fill="3B3838" w:themeFill="background2" w:themeFillShade="40"/>
            <w:noWrap/>
            <w:vAlign w:val="center"/>
            <w:hideMark/>
          </w:tcPr>
          <w:p w14:paraId="5D7CB627"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6</w:t>
            </w:r>
          </w:p>
        </w:tc>
        <w:tc>
          <w:tcPr>
            <w:tcW w:w="3327" w:type="dxa"/>
            <w:shd w:val="clear" w:color="auto" w:fill="3B3838" w:themeFill="background2" w:themeFillShade="40"/>
            <w:noWrap/>
            <w:vAlign w:val="center"/>
            <w:hideMark/>
          </w:tcPr>
          <w:p w14:paraId="1464E909" w14:textId="77777777" w:rsidR="00624EE5" w:rsidRPr="001D4B36" w:rsidRDefault="00624EE5" w:rsidP="00624EE5">
            <w:pPr>
              <w:spacing w:before="0" w:after="0" w:line="240" w:lineRule="atLeast"/>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Ordinarias</w:t>
            </w:r>
          </w:p>
        </w:tc>
        <w:tc>
          <w:tcPr>
            <w:tcW w:w="1006" w:type="dxa"/>
            <w:shd w:val="clear" w:color="auto" w:fill="3B3838" w:themeFill="background2" w:themeFillShade="40"/>
            <w:noWrap/>
            <w:vAlign w:val="center"/>
            <w:hideMark/>
          </w:tcPr>
          <w:p w14:paraId="7E4CC333"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4</w:t>
            </w:r>
          </w:p>
        </w:tc>
      </w:tr>
      <w:tr w:rsidR="00624EE5" w:rsidRPr="001D4B36" w14:paraId="6A7A4F41" w14:textId="77777777" w:rsidTr="00624EE5">
        <w:trPr>
          <w:trHeight w:val="32"/>
          <w:jc w:val="center"/>
        </w:trPr>
        <w:tc>
          <w:tcPr>
            <w:tcW w:w="1382" w:type="dxa"/>
            <w:vMerge/>
            <w:shd w:val="clear" w:color="auto" w:fill="3B3838" w:themeFill="background2" w:themeFillShade="40"/>
            <w:vAlign w:val="center"/>
            <w:hideMark/>
          </w:tcPr>
          <w:p w14:paraId="55DD7F70"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p>
        </w:tc>
        <w:tc>
          <w:tcPr>
            <w:tcW w:w="831" w:type="dxa"/>
            <w:vMerge/>
            <w:shd w:val="clear" w:color="auto" w:fill="3B3838" w:themeFill="background2" w:themeFillShade="40"/>
            <w:vAlign w:val="center"/>
            <w:hideMark/>
          </w:tcPr>
          <w:p w14:paraId="2D6ECB73"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p>
        </w:tc>
        <w:tc>
          <w:tcPr>
            <w:tcW w:w="3327" w:type="dxa"/>
            <w:shd w:val="clear" w:color="auto" w:fill="3B3838" w:themeFill="background2" w:themeFillShade="40"/>
            <w:noWrap/>
            <w:vAlign w:val="center"/>
            <w:hideMark/>
          </w:tcPr>
          <w:p w14:paraId="0E7FB380" w14:textId="77777777" w:rsidR="00624EE5" w:rsidRPr="001D4B36" w:rsidRDefault="00624EE5" w:rsidP="00624EE5">
            <w:pPr>
              <w:spacing w:before="0" w:after="0" w:line="240" w:lineRule="atLeast"/>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Extraordinarias</w:t>
            </w:r>
          </w:p>
        </w:tc>
        <w:tc>
          <w:tcPr>
            <w:tcW w:w="1006" w:type="dxa"/>
            <w:shd w:val="clear" w:color="auto" w:fill="3B3838" w:themeFill="background2" w:themeFillShade="40"/>
            <w:noWrap/>
            <w:vAlign w:val="center"/>
            <w:hideMark/>
          </w:tcPr>
          <w:p w14:paraId="5415FC3B" w14:textId="77777777" w:rsidR="00624EE5" w:rsidRPr="001D4B36" w:rsidRDefault="00624EE5" w:rsidP="00624EE5">
            <w:pPr>
              <w:spacing w:before="0" w:after="0" w:line="240" w:lineRule="atLeast"/>
              <w:jc w:val="center"/>
              <w:rPr>
                <w:rFonts w:ascii="Noto Sans" w:eastAsia="Times New Roman" w:hAnsi="Noto Sans" w:cs="Noto Sans"/>
                <w:b/>
                <w:bCs/>
                <w:color w:val="FFFFFF" w:themeColor="background1"/>
                <w:szCs w:val="18"/>
                <w:lang w:eastAsia="es-MX"/>
              </w:rPr>
            </w:pPr>
            <w:r w:rsidRPr="001D4B36">
              <w:rPr>
                <w:rFonts w:ascii="Noto Sans" w:eastAsia="Times New Roman" w:hAnsi="Noto Sans" w:cs="Noto Sans"/>
                <w:b/>
                <w:bCs/>
                <w:color w:val="FFFFFF" w:themeColor="background1"/>
                <w:szCs w:val="18"/>
                <w:lang w:eastAsia="es-MX"/>
              </w:rPr>
              <w:t>2</w:t>
            </w:r>
          </w:p>
        </w:tc>
      </w:tr>
    </w:tbl>
    <w:p w14:paraId="713F5910" w14:textId="77777777" w:rsidR="00624EE5" w:rsidRPr="001D4B36" w:rsidRDefault="00624EE5" w:rsidP="00624EE5">
      <w:pPr>
        <w:spacing w:line="240" w:lineRule="atLeast"/>
        <w:jc w:val="center"/>
        <w:rPr>
          <w:rFonts w:ascii="Noto Sans" w:hAnsi="Noto Sans" w:cs="Noto Sans"/>
          <w:sz w:val="20"/>
          <w:szCs w:val="20"/>
        </w:rPr>
      </w:pP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00"/>
        <w:tblCellMar>
          <w:left w:w="70" w:type="dxa"/>
          <w:right w:w="70" w:type="dxa"/>
        </w:tblCellMar>
        <w:tblLook w:val="04A0" w:firstRow="1" w:lastRow="0" w:firstColumn="1" w:lastColumn="0" w:noHBand="0" w:noVBand="1"/>
      </w:tblPr>
      <w:tblGrid>
        <w:gridCol w:w="1478"/>
        <w:gridCol w:w="3195"/>
        <w:gridCol w:w="1418"/>
      </w:tblGrid>
      <w:tr w:rsidR="00624EE5" w:rsidRPr="001D4B36" w14:paraId="6F3F3A3E" w14:textId="77777777" w:rsidTr="00624EE5">
        <w:trPr>
          <w:trHeight w:val="146"/>
          <w:jc w:val="center"/>
        </w:trPr>
        <w:tc>
          <w:tcPr>
            <w:tcW w:w="1478" w:type="dxa"/>
            <w:shd w:val="clear" w:color="auto" w:fill="FFCC00"/>
            <w:noWrap/>
            <w:vAlign w:val="center"/>
            <w:hideMark/>
          </w:tcPr>
          <w:p w14:paraId="26489C99"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SBS</w:t>
            </w:r>
          </w:p>
        </w:tc>
        <w:tc>
          <w:tcPr>
            <w:tcW w:w="3195" w:type="dxa"/>
            <w:shd w:val="clear" w:color="auto" w:fill="FFCC00"/>
            <w:noWrap/>
            <w:vAlign w:val="center"/>
            <w:hideMark/>
          </w:tcPr>
          <w:p w14:paraId="4AAC4EB5" w14:textId="77777777" w:rsidR="00624EE5" w:rsidRPr="001D4B36" w:rsidRDefault="00624EE5" w:rsidP="00624EE5">
            <w:pPr>
              <w:spacing w:before="0" w:after="0" w:line="240" w:lineRule="atLeast"/>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Contrataciones</w:t>
            </w:r>
          </w:p>
        </w:tc>
        <w:tc>
          <w:tcPr>
            <w:tcW w:w="1418" w:type="dxa"/>
            <w:shd w:val="clear" w:color="auto" w:fill="FFCC00"/>
            <w:noWrap/>
            <w:vAlign w:val="center"/>
            <w:hideMark/>
          </w:tcPr>
          <w:p w14:paraId="4F544746"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323</w:t>
            </w:r>
          </w:p>
        </w:tc>
      </w:tr>
      <w:tr w:rsidR="00624EE5" w:rsidRPr="001D4B36" w14:paraId="626315E3" w14:textId="77777777" w:rsidTr="00624EE5">
        <w:trPr>
          <w:trHeight w:val="146"/>
          <w:jc w:val="center"/>
        </w:trPr>
        <w:tc>
          <w:tcPr>
            <w:tcW w:w="1478" w:type="dxa"/>
            <w:vMerge w:val="restart"/>
            <w:shd w:val="clear" w:color="auto" w:fill="E2EFD9" w:themeFill="accent6" w:themeFillTint="33"/>
            <w:noWrap/>
            <w:vAlign w:val="center"/>
            <w:hideMark/>
          </w:tcPr>
          <w:p w14:paraId="67AA595A"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Adquisiciones</w:t>
            </w:r>
          </w:p>
        </w:tc>
        <w:tc>
          <w:tcPr>
            <w:tcW w:w="3195" w:type="dxa"/>
            <w:shd w:val="clear" w:color="auto" w:fill="E2EFD9" w:themeFill="accent6" w:themeFillTint="33"/>
            <w:noWrap/>
            <w:vAlign w:val="center"/>
            <w:hideMark/>
          </w:tcPr>
          <w:p w14:paraId="0D32C337" w14:textId="77777777" w:rsidR="00624EE5" w:rsidRPr="001D4B36" w:rsidRDefault="00624EE5" w:rsidP="00624EE5">
            <w:pPr>
              <w:spacing w:before="0" w:after="0" w:line="240" w:lineRule="atLeast"/>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Contratos</w:t>
            </w:r>
          </w:p>
        </w:tc>
        <w:tc>
          <w:tcPr>
            <w:tcW w:w="1418" w:type="dxa"/>
            <w:shd w:val="clear" w:color="auto" w:fill="E2EFD9" w:themeFill="accent6" w:themeFillTint="33"/>
            <w:noWrap/>
            <w:vAlign w:val="center"/>
            <w:hideMark/>
          </w:tcPr>
          <w:p w14:paraId="6F77CF92"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18</w:t>
            </w:r>
          </w:p>
        </w:tc>
      </w:tr>
      <w:tr w:rsidR="00624EE5" w:rsidRPr="001D4B36" w14:paraId="5C3B99A2" w14:textId="77777777" w:rsidTr="00624EE5">
        <w:trPr>
          <w:trHeight w:val="146"/>
          <w:jc w:val="center"/>
        </w:trPr>
        <w:tc>
          <w:tcPr>
            <w:tcW w:w="1478" w:type="dxa"/>
            <w:vMerge/>
            <w:shd w:val="clear" w:color="auto" w:fill="E2EFD9" w:themeFill="accent6" w:themeFillTint="33"/>
            <w:vAlign w:val="center"/>
            <w:hideMark/>
          </w:tcPr>
          <w:p w14:paraId="0E4B9D6E"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3195" w:type="dxa"/>
            <w:shd w:val="clear" w:color="auto" w:fill="E2EFD9" w:themeFill="accent6" w:themeFillTint="33"/>
            <w:noWrap/>
            <w:vAlign w:val="center"/>
            <w:hideMark/>
          </w:tcPr>
          <w:p w14:paraId="05E33106" w14:textId="77777777" w:rsidR="00624EE5" w:rsidRPr="001D4B36" w:rsidRDefault="00624EE5" w:rsidP="00624EE5">
            <w:pPr>
              <w:spacing w:before="0" w:after="0" w:line="240" w:lineRule="atLeast"/>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Pedidos</w:t>
            </w:r>
          </w:p>
        </w:tc>
        <w:tc>
          <w:tcPr>
            <w:tcW w:w="1418" w:type="dxa"/>
            <w:shd w:val="clear" w:color="auto" w:fill="E2EFD9" w:themeFill="accent6" w:themeFillTint="33"/>
            <w:noWrap/>
            <w:vAlign w:val="center"/>
            <w:hideMark/>
          </w:tcPr>
          <w:p w14:paraId="77DC5F29"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37</w:t>
            </w:r>
          </w:p>
        </w:tc>
      </w:tr>
      <w:tr w:rsidR="00624EE5" w:rsidRPr="001D4B36" w14:paraId="5CA69C0A" w14:textId="77777777" w:rsidTr="00624EE5">
        <w:trPr>
          <w:trHeight w:val="146"/>
          <w:jc w:val="center"/>
        </w:trPr>
        <w:tc>
          <w:tcPr>
            <w:tcW w:w="1478" w:type="dxa"/>
            <w:vMerge/>
            <w:shd w:val="clear" w:color="auto" w:fill="E2EFD9" w:themeFill="accent6" w:themeFillTint="33"/>
            <w:vAlign w:val="center"/>
            <w:hideMark/>
          </w:tcPr>
          <w:p w14:paraId="7581D1DC"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3195" w:type="dxa"/>
            <w:shd w:val="clear" w:color="auto" w:fill="E2EFD9" w:themeFill="accent6" w:themeFillTint="33"/>
            <w:noWrap/>
            <w:vAlign w:val="center"/>
            <w:hideMark/>
          </w:tcPr>
          <w:p w14:paraId="105CE859" w14:textId="77777777" w:rsidR="00624EE5" w:rsidRPr="001D4B36" w:rsidRDefault="00624EE5" w:rsidP="00624EE5">
            <w:pPr>
              <w:spacing w:before="0" w:after="0" w:line="240" w:lineRule="atLeast"/>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Ordenes de compras</w:t>
            </w:r>
          </w:p>
        </w:tc>
        <w:tc>
          <w:tcPr>
            <w:tcW w:w="1418" w:type="dxa"/>
            <w:shd w:val="clear" w:color="auto" w:fill="E2EFD9" w:themeFill="accent6" w:themeFillTint="33"/>
            <w:noWrap/>
            <w:vAlign w:val="center"/>
            <w:hideMark/>
          </w:tcPr>
          <w:p w14:paraId="574A68E2"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593</w:t>
            </w:r>
          </w:p>
        </w:tc>
      </w:tr>
      <w:tr w:rsidR="00624EE5" w:rsidRPr="001D4B36" w14:paraId="05F834D4" w14:textId="77777777" w:rsidTr="00624EE5">
        <w:trPr>
          <w:trHeight w:val="146"/>
          <w:jc w:val="center"/>
        </w:trPr>
        <w:tc>
          <w:tcPr>
            <w:tcW w:w="1478" w:type="dxa"/>
            <w:vMerge/>
            <w:shd w:val="clear" w:color="auto" w:fill="E2EFD9" w:themeFill="accent6" w:themeFillTint="33"/>
            <w:vAlign w:val="center"/>
            <w:hideMark/>
          </w:tcPr>
          <w:p w14:paraId="7EBD01B9"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p>
        </w:tc>
        <w:tc>
          <w:tcPr>
            <w:tcW w:w="3195" w:type="dxa"/>
            <w:shd w:val="clear" w:color="auto" w:fill="E2EFD9" w:themeFill="accent6" w:themeFillTint="33"/>
            <w:noWrap/>
            <w:vAlign w:val="center"/>
            <w:hideMark/>
          </w:tcPr>
          <w:p w14:paraId="33F80B19" w14:textId="77777777" w:rsidR="00624EE5" w:rsidRPr="001D4B36" w:rsidRDefault="00624EE5" w:rsidP="00624EE5">
            <w:pPr>
              <w:spacing w:before="0" w:after="0" w:line="240" w:lineRule="atLeast"/>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Pagos directos</w:t>
            </w:r>
          </w:p>
        </w:tc>
        <w:tc>
          <w:tcPr>
            <w:tcW w:w="1418" w:type="dxa"/>
            <w:shd w:val="clear" w:color="auto" w:fill="E2EFD9" w:themeFill="accent6" w:themeFillTint="33"/>
            <w:noWrap/>
            <w:vAlign w:val="center"/>
            <w:hideMark/>
          </w:tcPr>
          <w:p w14:paraId="4DCE7F58"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486</w:t>
            </w:r>
          </w:p>
        </w:tc>
      </w:tr>
      <w:tr w:rsidR="00624EE5" w:rsidRPr="001D4B36" w14:paraId="0892312E" w14:textId="77777777" w:rsidTr="00624EE5">
        <w:trPr>
          <w:trHeight w:val="146"/>
          <w:jc w:val="center"/>
        </w:trPr>
        <w:tc>
          <w:tcPr>
            <w:tcW w:w="1478" w:type="dxa"/>
            <w:vMerge w:val="restart"/>
            <w:shd w:val="clear" w:color="auto" w:fill="CBD3DE" w:themeFill="text2" w:themeFillTint="40"/>
            <w:noWrap/>
            <w:vAlign w:val="center"/>
            <w:hideMark/>
          </w:tcPr>
          <w:p w14:paraId="1E0F6509"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Servicios</w:t>
            </w:r>
          </w:p>
        </w:tc>
        <w:tc>
          <w:tcPr>
            <w:tcW w:w="3195" w:type="dxa"/>
            <w:shd w:val="clear" w:color="auto" w:fill="CBD3DE" w:themeFill="text2" w:themeFillTint="40"/>
            <w:noWrap/>
            <w:vAlign w:val="center"/>
            <w:hideMark/>
          </w:tcPr>
          <w:p w14:paraId="4FA3D0B4" w14:textId="77777777" w:rsidR="00624EE5" w:rsidRPr="001D4B36" w:rsidRDefault="00624EE5" w:rsidP="00624EE5">
            <w:pPr>
              <w:spacing w:before="0" w:after="0" w:line="240" w:lineRule="atLeast"/>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Contratos</w:t>
            </w:r>
          </w:p>
        </w:tc>
        <w:tc>
          <w:tcPr>
            <w:tcW w:w="1418" w:type="dxa"/>
            <w:shd w:val="clear" w:color="auto" w:fill="CBD3DE" w:themeFill="text2" w:themeFillTint="40"/>
            <w:noWrap/>
            <w:vAlign w:val="center"/>
            <w:hideMark/>
          </w:tcPr>
          <w:p w14:paraId="5A8A5956"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6</w:t>
            </w:r>
          </w:p>
        </w:tc>
      </w:tr>
      <w:tr w:rsidR="00624EE5" w:rsidRPr="001D4B36" w14:paraId="68B8A6F9" w14:textId="77777777" w:rsidTr="00624EE5">
        <w:trPr>
          <w:trHeight w:val="146"/>
          <w:jc w:val="center"/>
        </w:trPr>
        <w:tc>
          <w:tcPr>
            <w:tcW w:w="1478" w:type="dxa"/>
            <w:vMerge/>
            <w:shd w:val="clear" w:color="auto" w:fill="CBD3DE" w:themeFill="text2" w:themeFillTint="40"/>
            <w:vAlign w:val="center"/>
            <w:hideMark/>
          </w:tcPr>
          <w:p w14:paraId="6B756BA1" w14:textId="77777777" w:rsidR="00624EE5" w:rsidRPr="001D4B36" w:rsidRDefault="00624EE5" w:rsidP="00624EE5">
            <w:pPr>
              <w:spacing w:before="0" w:after="0" w:line="240" w:lineRule="atLeast"/>
              <w:rPr>
                <w:rFonts w:ascii="Noto Sans" w:eastAsia="Times New Roman" w:hAnsi="Noto Sans" w:cs="Noto Sans"/>
                <w:b/>
                <w:bCs/>
                <w:color w:val="000000"/>
                <w:szCs w:val="18"/>
                <w:lang w:eastAsia="es-MX"/>
              </w:rPr>
            </w:pPr>
          </w:p>
        </w:tc>
        <w:tc>
          <w:tcPr>
            <w:tcW w:w="3195" w:type="dxa"/>
            <w:shd w:val="clear" w:color="auto" w:fill="CBD3DE" w:themeFill="text2" w:themeFillTint="40"/>
            <w:noWrap/>
            <w:vAlign w:val="center"/>
            <w:hideMark/>
          </w:tcPr>
          <w:p w14:paraId="12AEE8FE" w14:textId="77777777" w:rsidR="00624EE5" w:rsidRPr="001D4B36" w:rsidRDefault="00624EE5" w:rsidP="00624EE5">
            <w:pPr>
              <w:spacing w:before="0" w:after="0" w:line="240" w:lineRule="atLeast"/>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Ordenes de servicios</w:t>
            </w:r>
          </w:p>
        </w:tc>
        <w:tc>
          <w:tcPr>
            <w:tcW w:w="1418" w:type="dxa"/>
            <w:shd w:val="clear" w:color="auto" w:fill="CBD3DE" w:themeFill="text2" w:themeFillTint="40"/>
            <w:noWrap/>
            <w:vAlign w:val="center"/>
            <w:hideMark/>
          </w:tcPr>
          <w:p w14:paraId="5B2D0228"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27</w:t>
            </w:r>
          </w:p>
        </w:tc>
      </w:tr>
      <w:tr w:rsidR="00624EE5" w:rsidRPr="001D4B36" w14:paraId="640F61BA" w14:textId="77777777" w:rsidTr="00624EE5">
        <w:trPr>
          <w:trHeight w:val="146"/>
          <w:jc w:val="center"/>
        </w:trPr>
        <w:tc>
          <w:tcPr>
            <w:tcW w:w="1478" w:type="dxa"/>
            <w:vMerge/>
            <w:shd w:val="clear" w:color="auto" w:fill="CBD3DE" w:themeFill="text2" w:themeFillTint="40"/>
            <w:vAlign w:val="center"/>
            <w:hideMark/>
          </w:tcPr>
          <w:p w14:paraId="0EEA949F" w14:textId="77777777" w:rsidR="00624EE5" w:rsidRPr="001D4B36" w:rsidRDefault="00624EE5" w:rsidP="00624EE5">
            <w:pPr>
              <w:spacing w:before="0" w:after="0" w:line="240" w:lineRule="atLeast"/>
              <w:rPr>
                <w:rFonts w:ascii="Noto Sans" w:eastAsia="Times New Roman" w:hAnsi="Noto Sans" w:cs="Noto Sans"/>
                <w:b/>
                <w:bCs/>
                <w:color w:val="000000"/>
                <w:szCs w:val="18"/>
                <w:lang w:eastAsia="es-MX"/>
              </w:rPr>
            </w:pPr>
          </w:p>
        </w:tc>
        <w:tc>
          <w:tcPr>
            <w:tcW w:w="3195" w:type="dxa"/>
            <w:shd w:val="clear" w:color="auto" w:fill="CBD3DE" w:themeFill="text2" w:themeFillTint="40"/>
            <w:noWrap/>
            <w:vAlign w:val="center"/>
            <w:hideMark/>
          </w:tcPr>
          <w:p w14:paraId="58545C65" w14:textId="77777777" w:rsidR="00624EE5" w:rsidRPr="001D4B36" w:rsidRDefault="00624EE5" w:rsidP="00624EE5">
            <w:pPr>
              <w:spacing w:before="0" w:after="0" w:line="240" w:lineRule="atLeast"/>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Contrataciones de Obras Publicas</w:t>
            </w:r>
          </w:p>
        </w:tc>
        <w:tc>
          <w:tcPr>
            <w:tcW w:w="1418" w:type="dxa"/>
            <w:shd w:val="clear" w:color="auto" w:fill="CBD3DE" w:themeFill="text2" w:themeFillTint="40"/>
            <w:noWrap/>
            <w:vAlign w:val="center"/>
            <w:hideMark/>
          </w:tcPr>
          <w:p w14:paraId="37697738" w14:textId="77777777" w:rsidR="00624EE5" w:rsidRPr="001D4B36" w:rsidRDefault="00624EE5" w:rsidP="00624EE5">
            <w:pPr>
              <w:spacing w:before="0" w:after="0" w:line="240" w:lineRule="atLeast"/>
              <w:jc w:val="center"/>
              <w:rPr>
                <w:rFonts w:ascii="Noto Sans" w:eastAsia="Times New Roman" w:hAnsi="Noto Sans" w:cs="Noto Sans"/>
                <w:b/>
                <w:bCs/>
                <w:color w:val="000000"/>
                <w:szCs w:val="18"/>
                <w:lang w:eastAsia="es-MX"/>
              </w:rPr>
            </w:pPr>
            <w:r w:rsidRPr="001D4B36">
              <w:rPr>
                <w:rFonts w:ascii="Noto Sans" w:eastAsia="Times New Roman" w:hAnsi="Noto Sans" w:cs="Noto Sans"/>
                <w:b/>
                <w:bCs/>
                <w:color w:val="000000"/>
                <w:szCs w:val="18"/>
                <w:lang w:eastAsia="es-MX"/>
              </w:rPr>
              <w:t>20</w:t>
            </w:r>
          </w:p>
        </w:tc>
      </w:tr>
    </w:tbl>
    <w:p w14:paraId="536BEDFF" w14:textId="77777777" w:rsidR="00624EE5" w:rsidRPr="001D4B36" w:rsidRDefault="00624EE5" w:rsidP="00C14E50">
      <w:pPr>
        <w:pStyle w:val="Contenido1"/>
      </w:pPr>
      <w:r w:rsidRPr="001D4B36">
        <w:t xml:space="preserve">Se llevó el proceso contable completo de 13,701 pólizas de ingresos, egresos y diario, declaraciones de impuestos y elaboración de estados financieros, los cuales fueron auditados sin observaciones. </w:t>
      </w:r>
    </w:p>
    <w:p w14:paraId="6E96420D" w14:textId="77777777" w:rsidR="00624EE5" w:rsidRPr="001D4B36" w:rsidRDefault="00624EE5" w:rsidP="00C14E50">
      <w:pPr>
        <w:pStyle w:val="Contenido1"/>
      </w:pPr>
      <w:r w:rsidRPr="001D4B36">
        <w:t xml:space="preserve">Control, operación, </w:t>
      </w:r>
      <w:r w:rsidRPr="00C14E50">
        <w:t>registro</w:t>
      </w:r>
      <w:r w:rsidRPr="001D4B36">
        <w:t xml:space="preserve">, conciliación y seguimiento de 22 cuentas bancarias con ingresos y egresos de recursos fiscales, propios y de fondos en administración. </w:t>
      </w:r>
    </w:p>
    <w:p w14:paraId="1570D494" w14:textId="77777777" w:rsidR="00624EE5" w:rsidRPr="001D4B36" w:rsidRDefault="00624EE5" w:rsidP="00C14E50">
      <w:pPr>
        <w:pStyle w:val="Contenido1"/>
      </w:pPr>
      <w:r w:rsidRPr="001D4B36">
        <w:t>Cada año el Consejo Nacional de Armonización Contable (CONAC) evalúa el grado de avance en la armonización contable de los entes públicos federales por medio de un micrositio llamado Sistema de Evaluación de Armonización Contable (SEVAC), por lo cual la evaluación aplicada al INECOL del año 2024 se obtuvo el 100% de cumplimiento</w:t>
      </w:r>
    </w:p>
    <w:p w14:paraId="2497DBF4" w14:textId="77777777" w:rsidR="00624EE5" w:rsidRPr="001D4B36" w:rsidRDefault="00624EE5" w:rsidP="00C14E50">
      <w:pPr>
        <w:pStyle w:val="Contenido1"/>
      </w:pPr>
      <w:r w:rsidRPr="001D4B36">
        <w:t xml:space="preserve">Se logró gran participación en materia de Capacitación, superando las acciones programadas y obteniendo un cumplimiento del 627%. Derivado de la aplicación del Cuestionario para identificar factores de riesgo psicosocial y evaluar el entorno organizacional en los centros de trabajo de la NOM-035-STPS-2023, se logró el 97.5% de participación y un Nivel de Riesgo Bajo. </w:t>
      </w:r>
    </w:p>
    <w:p w14:paraId="70DDDD3B" w14:textId="77777777" w:rsidR="00624EE5" w:rsidRPr="001D4B36" w:rsidRDefault="00624EE5" w:rsidP="00C14E50">
      <w:pPr>
        <w:pStyle w:val="Contenido1"/>
      </w:pPr>
      <w:r w:rsidRPr="001D4B36">
        <w:t>Se coordinó el Informe de Gestión Gubernamental 2018-2024, entregado en tiempo y forma para el cambio de gobierno.</w:t>
      </w:r>
    </w:p>
    <w:p w14:paraId="612F5EB4" w14:textId="0147BBD6" w:rsidR="007F0471" w:rsidRPr="001D4B36" w:rsidRDefault="00624EE5" w:rsidP="00C14E50">
      <w:pPr>
        <w:pStyle w:val="Contenido1"/>
        <w:rPr>
          <w:rStyle w:val="normaltextrun"/>
          <w:rFonts w:eastAsiaTheme="majorEastAsia" w:cs="Noto Sans"/>
          <w:szCs w:val="20"/>
        </w:rPr>
      </w:pPr>
      <w:r w:rsidRPr="001D4B36">
        <w:rPr>
          <w:rStyle w:val="normaltextrun"/>
          <w:rFonts w:eastAsiaTheme="majorEastAsia" w:cs="Noto Sans"/>
          <w:szCs w:val="20"/>
        </w:rPr>
        <w:lastRenderedPageBreak/>
        <w:t>Se presenta un análisis comparativo del INECOL con algunas variables de 2019 y de 2024. En general el presupuesto tuvo incrementos moderados, que actualizan los precios y que atienden el incremento de personal y la ejecución de proyectos.</w:t>
      </w:r>
    </w:p>
    <w:p w14:paraId="7F8420B4" w14:textId="1C2A97BF" w:rsidR="006F7F68" w:rsidRPr="001D4B36" w:rsidRDefault="006F7F68" w:rsidP="00C14E50">
      <w:pPr>
        <w:pStyle w:val="Contenido1"/>
        <w:rPr>
          <w:rStyle w:val="normaltextrun"/>
          <w:rFonts w:eastAsiaTheme="majorEastAsia" w:cs="Noto Sans"/>
          <w:szCs w:val="20"/>
        </w:rPr>
      </w:pPr>
      <w:r w:rsidRPr="00FD6B62">
        <w:rPr>
          <w:rStyle w:val="normaltextrun"/>
          <w:rFonts w:eastAsiaTheme="majorEastAsia" w:cs="Noto Sans"/>
          <w:szCs w:val="20"/>
        </w:rPr>
        <w:t xml:space="preserve">Las instancias fiscalizadoras realizaron </w:t>
      </w:r>
      <w:r w:rsidR="00FD6B62">
        <w:rPr>
          <w:rStyle w:val="normaltextrun"/>
          <w:rFonts w:eastAsiaTheme="majorEastAsia" w:cs="Noto Sans"/>
          <w:szCs w:val="20"/>
        </w:rPr>
        <w:t>una</w:t>
      </w:r>
      <w:r w:rsidRPr="00FD6B62">
        <w:rPr>
          <w:rStyle w:val="normaltextrun"/>
          <w:rFonts w:eastAsiaTheme="majorEastAsia" w:cs="Noto Sans"/>
          <w:szCs w:val="20"/>
        </w:rPr>
        <w:t xml:space="preserve"> auditoría</w:t>
      </w:r>
      <w:r w:rsidR="00FD6B62">
        <w:rPr>
          <w:rStyle w:val="normaltextrun"/>
          <w:rFonts w:eastAsiaTheme="majorEastAsia" w:cs="Noto Sans"/>
          <w:szCs w:val="20"/>
        </w:rPr>
        <w:t xml:space="preserve"> más</w:t>
      </w:r>
      <w:r w:rsidRPr="00FD6B62">
        <w:rPr>
          <w:rStyle w:val="normaltextrun"/>
          <w:rFonts w:eastAsiaTheme="majorEastAsia" w:cs="Noto Sans"/>
          <w:szCs w:val="20"/>
        </w:rPr>
        <w:t xml:space="preserve"> en 2024 que en el año 2019. </w:t>
      </w:r>
      <w:r w:rsidRPr="00B10E87">
        <w:rPr>
          <w:rStyle w:val="normaltextrun"/>
          <w:rFonts w:eastAsiaTheme="majorEastAsia" w:cs="Noto Sans"/>
          <w:szCs w:val="20"/>
        </w:rPr>
        <w:t>Se tenía en 2019 tres demandas y ahora sólo se atiende una, es decir, se mejoró la atención a conflictos institucionales.</w:t>
      </w:r>
    </w:p>
    <w:p w14:paraId="0AE79C12" w14:textId="77777777" w:rsidR="006F7F68" w:rsidRPr="001D4B36" w:rsidRDefault="006F7F68" w:rsidP="006F7F68">
      <w:pPr>
        <w:pStyle w:val="paragraph"/>
        <w:spacing w:before="0" w:beforeAutospacing="0" w:after="80" w:afterAutospacing="0" w:line="240" w:lineRule="atLeast"/>
        <w:jc w:val="center"/>
        <w:textAlignment w:val="baseline"/>
        <w:rPr>
          <w:rStyle w:val="normaltextrun"/>
          <w:rFonts w:ascii="Noto Sans" w:eastAsiaTheme="majorEastAsia" w:hAnsi="Noto Sans" w:cs="Noto Sans"/>
          <w:sz w:val="20"/>
          <w:szCs w:val="20"/>
        </w:rPr>
      </w:pPr>
      <w:r w:rsidRPr="001D4B36">
        <w:rPr>
          <w:rStyle w:val="normaltextrun"/>
          <w:rFonts w:ascii="Noto Sans" w:eastAsiaTheme="majorEastAsia" w:hAnsi="Noto Sans" w:cs="Noto Sans"/>
          <w:sz w:val="20"/>
          <w:szCs w:val="20"/>
        </w:rPr>
        <w:t>Tabla 1. Comparativos 2019-2024.</w:t>
      </w: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20" w:firstRow="1" w:lastRow="0" w:firstColumn="0" w:lastColumn="0" w:noHBand="0" w:noVBand="1"/>
      </w:tblPr>
      <w:tblGrid>
        <w:gridCol w:w="1570"/>
        <w:gridCol w:w="1647"/>
        <w:gridCol w:w="1757"/>
        <w:gridCol w:w="3854"/>
      </w:tblGrid>
      <w:tr w:rsidR="00EC0FAF" w:rsidRPr="00C14E50" w14:paraId="399C3A6B" w14:textId="77777777" w:rsidTr="001D4B36">
        <w:trPr>
          <w:trHeight w:val="293"/>
        </w:trPr>
        <w:tc>
          <w:tcPr>
            <w:tcW w:w="889" w:type="pct"/>
            <w:shd w:val="clear" w:color="auto" w:fill="9E2A2C"/>
            <w:tcMar>
              <w:top w:w="72" w:type="dxa"/>
              <w:left w:w="144" w:type="dxa"/>
              <w:bottom w:w="72" w:type="dxa"/>
              <w:right w:w="144" w:type="dxa"/>
            </w:tcMar>
            <w:hideMark/>
          </w:tcPr>
          <w:p w14:paraId="725B099F" w14:textId="77777777" w:rsidR="006F7F68" w:rsidRPr="00C14E50" w:rsidRDefault="006F7F68" w:rsidP="007A473A">
            <w:pPr>
              <w:spacing w:after="0"/>
              <w:jc w:val="center"/>
              <w:rPr>
                <w:rFonts w:ascii="Noto Sans" w:hAnsi="Noto Sans" w:cs="Noto Sans"/>
                <w:color w:val="FFFFFF" w:themeColor="background1"/>
                <w:szCs w:val="18"/>
              </w:rPr>
            </w:pPr>
            <w:bookmarkStart w:id="0" w:name="_Hlk181038039"/>
            <w:r w:rsidRPr="00C14E50">
              <w:rPr>
                <w:rFonts w:ascii="Noto Sans" w:hAnsi="Noto Sans" w:cs="Noto Sans"/>
                <w:b/>
                <w:bCs/>
                <w:color w:val="FFFFFF" w:themeColor="background1"/>
                <w:szCs w:val="18"/>
                <w:lang w:val="es-419"/>
              </w:rPr>
              <w:t>COMPARATIVO 2019-2024</w:t>
            </w:r>
          </w:p>
        </w:tc>
        <w:tc>
          <w:tcPr>
            <w:tcW w:w="933" w:type="pct"/>
            <w:shd w:val="clear" w:color="auto" w:fill="9E2A2C"/>
            <w:tcMar>
              <w:top w:w="72" w:type="dxa"/>
              <w:left w:w="144" w:type="dxa"/>
              <w:bottom w:w="72" w:type="dxa"/>
              <w:right w:w="144" w:type="dxa"/>
            </w:tcMar>
            <w:hideMark/>
          </w:tcPr>
          <w:p w14:paraId="298D039C" w14:textId="77777777" w:rsidR="006F7F68" w:rsidRPr="00C14E50" w:rsidRDefault="006F7F68" w:rsidP="007A473A">
            <w:pPr>
              <w:spacing w:after="0"/>
              <w:jc w:val="center"/>
              <w:rPr>
                <w:rFonts w:ascii="Noto Sans" w:hAnsi="Noto Sans" w:cs="Noto Sans"/>
                <w:color w:val="FFFFFF" w:themeColor="background1"/>
                <w:szCs w:val="18"/>
              </w:rPr>
            </w:pPr>
            <w:r w:rsidRPr="00C14E50">
              <w:rPr>
                <w:rFonts w:ascii="Noto Sans" w:hAnsi="Noto Sans" w:cs="Noto Sans"/>
                <w:b/>
                <w:bCs/>
                <w:color w:val="FFFFFF" w:themeColor="background1"/>
                <w:szCs w:val="18"/>
                <w:lang w:val="es-ES"/>
              </w:rPr>
              <w:t>2019</w:t>
            </w:r>
          </w:p>
        </w:tc>
        <w:tc>
          <w:tcPr>
            <w:tcW w:w="995" w:type="pct"/>
            <w:shd w:val="clear" w:color="auto" w:fill="9E2A2C"/>
            <w:tcMar>
              <w:top w:w="72" w:type="dxa"/>
              <w:left w:w="144" w:type="dxa"/>
              <w:bottom w:w="72" w:type="dxa"/>
              <w:right w:w="144" w:type="dxa"/>
            </w:tcMar>
            <w:hideMark/>
          </w:tcPr>
          <w:p w14:paraId="21D0526A" w14:textId="77777777" w:rsidR="006F7F68" w:rsidRPr="00C14E50" w:rsidRDefault="006F7F68" w:rsidP="007A473A">
            <w:pPr>
              <w:spacing w:after="0"/>
              <w:jc w:val="center"/>
              <w:rPr>
                <w:rFonts w:ascii="Noto Sans" w:hAnsi="Noto Sans" w:cs="Noto Sans"/>
                <w:color w:val="FFFFFF" w:themeColor="background1"/>
                <w:szCs w:val="18"/>
              </w:rPr>
            </w:pPr>
            <w:r w:rsidRPr="00C14E50">
              <w:rPr>
                <w:rFonts w:ascii="Noto Sans" w:hAnsi="Noto Sans" w:cs="Noto Sans"/>
                <w:b/>
                <w:bCs/>
                <w:color w:val="FFFFFF" w:themeColor="background1"/>
                <w:szCs w:val="18"/>
                <w:lang w:val="es-ES"/>
              </w:rPr>
              <w:t>2024</w:t>
            </w:r>
          </w:p>
        </w:tc>
        <w:tc>
          <w:tcPr>
            <w:tcW w:w="2183" w:type="pct"/>
            <w:shd w:val="clear" w:color="auto" w:fill="9E2A2C"/>
            <w:tcMar>
              <w:top w:w="72" w:type="dxa"/>
              <w:left w:w="144" w:type="dxa"/>
              <w:bottom w:w="72" w:type="dxa"/>
              <w:right w:w="144" w:type="dxa"/>
            </w:tcMar>
            <w:hideMark/>
          </w:tcPr>
          <w:p w14:paraId="4FF65EB6" w14:textId="77777777" w:rsidR="006F7F68" w:rsidRPr="00C14E50" w:rsidRDefault="006F7F68" w:rsidP="007A473A">
            <w:pPr>
              <w:spacing w:after="0"/>
              <w:jc w:val="center"/>
              <w:rPr>
                <w:rFonts w:ascii="Noto Sans" w:hAnsi="Noto Sans" w:cs="Noto Sans"/>
                <w:color w:val="FFFFFF" w:themeColor="background1"/>
                <w:szCs w:val="18"/>
              </w:rPr>
            </w:pPr>
            <w:r w:rsidRPr="00C14E50">
              <w:rPr>
                <w:rFonts w:ascii="Noto Sans" w:hAnsi="Noto Sans" w:cs="Noto Sans"/>
                <w:b/>
                <w:bCs/>
                <w:color w:val="FFFFFF" w:themeColor="background1"/>
                <w:szCs w:val="18"/>
                <w:lang w:val="es-ES"/>
              </w:rPr>
              <w:t>COMENTARIOS</w:t>
            </w:r>
          </w:p>
        </w:tc>
      </w:tr>
      <w:tr w:rsidR="00EC0FAF" w:rsidRPr="00C14E50" w14:paraId="2A6A653B" w14:textId="77777777" w:rsidTr="001D4B36">
        <w:trPr>
          <w:trHeight w:val="1176"/>
        </w:trPr>
        <w:tc>
          <w:tcPr>
            <w:tcW w:w="889" w:type="pct"/>
            <w:shd w:val="clear" w:color="auto" w:fill="FFF2CC"/>
            <w:tcMar>
              <w:top w:w="72" w:type="dxa"/>
              <w:left w:w="144" w:type="dxa"/>
              <w:bottom w:w="72" w:type="dxa"/>
              <w:right w:w="144" w:type="dxa"/>
            </w:tcMar>
            <w:vAlign w:val="center"/>
            <w:hideMark/>
          </w:tcPr>
          <w:p w14:paraId="3979ED98"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ES"/>
              </w:rPr>
              <w:t>PRESUPUESTO</w:t>
            </w:r>
          </w:p>
        </w:tc>
        <w:tc>
          <w:tcPr>
            <w:tcW w:w="933" w:type="pct"/>
            <w:shd w:val="clear" w:color="auto" w:fill="FFF2CC"/>
            <w:tcMar>
              <w:top w:w="72" w:type="dxa"/>
              <w:left w:w="144" w:type="dxa"/>
              <w:bottom w:w="72" w:type="dxa"/>
              <w:right w:w="144" w:type="dxa"/>
            </w:tcMar>
            <w:vAlign w:val="center"/>
            <w:hideMark/>
          </w:tcPr>
          <w:p w14:paraId="159CA814"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$ 319,969,474.</w:t>
            </w:r>
            <w:r w:rsidRPr="00C14E50">
              <w:rPr>
                <w:rFonts w:ascii="Noto Sans" w:hAnsi="Noto Sans" w:cs="Noto Sans"/>
                <w:szCs w:val="18"/>
                <w:vertAlign w:val="superscript"/>
              </w:rPr>
              <w:t>00</w:t>
            </w:r>
          </w:p>
        </w:tc>
        <w:tc>
          <w:tcPr>
            <w:tcW w:w="995" w:type="pct"/>
            <w:shd w:val="clear" w:color="auto" w:fill="FFF2CC"/>
            <w:tcMar>
              <w:top w:w="72" w:type="dxa"/>
              <w:left w:w="144" w:type="dxa"/>
              <w:bottom w:w="72" w:type="dxa"/>
              <w:right w:w="144" w:type="dxa"/>
            </w:tcMar>
            <w:vAlign w:val="center"/>
            <w:hideMark/>
          </w:tcPr>
          <w:p w14:paraId="35E8C229"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$ 398,601,481.</w:t>
            </w:r>
            <w:r w:rsidRPr="00C14E50">
              <w:rPr>
                <w:rFonts w:ascii="Noto Sans" w:hAnsi="Noto Sans" w:cs="Noto Sans"/>
                <w:szCs w:val="18"/>
                <w:vertAlign w:val="superscript"/>
              </w:rPr>
              <w:t>00</w:t>
            </w:r>
          </w:p>
        </w:tc>
        <w:tc>
          <w:tcPr>
            <w:tcW w:w="2183" w:type="pct"/>
            <w:shd w:val="clear" w:color="auto" w:fill="FFF2CC"/>
            <w:tcMar>
              <w:top w:w="72" w:type="dxa"/>
              <w:left w:w="144" w:type="dxa"/>
              <w:bottom w:w="72" w:type="dxa"/>
              <w:right w:w="144" w:type="dxa"/>
            </w:tcMar>
            <w:vAlign w:val="center"/>
            <w:hideMark/>
          </w:tcPr>
          <w:p w14:paraId="3D6D6FE4"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419"/>
              </w:rPr>
              <w:t>Aumentar el techo financiero del INECOL. Permitir el uso de los recursos autogenerados. Asignar recursos de mantenimiento y adquisición de equipo.</w:t>
            </w:r>
          </w:p>
        </w:tc>
      </w:tr>
      <w:tr w:rsidR="00EC0FAF" w:rsidRPr="00C14E50" w14:paraId="6BB80060" w14:textId="77777777" w:rsidTr="001D4B36">
        <w:trPr>
          <w:trHeight w:val="579"/>
        </w:trPr>
        <w:tc>
          <w:tcPr>
            <w:tcW w:w="889" w:type="pct"/>
            <w:shd w:val="clear" w:color="auto" w:fill="FFFDE6"/>
            <w:tcMar>
              <w:top w:w="72" w:type="dxa"/>
              <w:left w:w="144" w:type="dxa"/>
              <w:bottom w:w="72" w:type="dxa"/>
              <w:right w:w="144" w:type="dxa"/>
            </w:tcMar>
            <w:vAlign w:val="center"/>
            <w:hideMark/>
          </w:tcPr>
          <w:p w14:paraId="4EBA5562"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ES"/>
              </w:rPr>
              <w:t>AUDITORIAS</w:t>
            </w:r>
          </w:p>
        </w:tc>
        <w:tc>
          <w:tcPr>
            <w:tcW w:w="933" w:type="pct"/>
            <w:shd w:val="clear" w:color="auto" w:fill="FFFDE6"/>
            <w:tcMar>
              <w:top w:w="72" w:type="dxa"/>
              <w:left w:w="144" w:type="dxa"/>
              <w:bottom w:w="72" w:type="dxa"/>
              <w:right w:w="144" w:type="dxa"/>
            </w:tcMar>
            <w:vAlign w:val="center"/>
            <w:hideMark/>
          </w:tcPr>
          <w:p w14:paraId="5D6A7F58"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8</w:t>
            </w:r>
          </w:p>
        </w:tc>
        <w:tc>
          <w:tcPr>
            <w:tcW w:w="995" w:type="pct"/>
            <w:shd w:val="clear" w:color="auto" w:fill="FFFDE6"/>
            <w:tcMar>
              <w:top w:w="72" w:type="dxa"/>
              <w:left w:w="144" w:type="dxa"/>
              <w:bottom w:w="72" w:type="dxa"/>
              <w:right w:w="144" w:type="dxa"/>
            </w:tcMar>
            <w:vAlign w:val="center"/>
            <w:hideMark/>
          </w:tcPr>
          <w:p w14:paraId="59A43EA4" w14:textId="609EEAA2" w:rsidR="006F7F68" w:rsidRPr="00C14E50" w:rsidRDefault="00FD6B62" w:rsidP="007A473A">
            <w:pPr>
              <w:spacing w:after="0"/>
              <w:jc w:val="center"/>
              <w:rPr>
                <w:rFonts w:ascii="Noto Sans" w:hAnsi="Noto Sans" w:cs="Noto Sans"/>
                <w:color w:val="FF0000"/>
                <w:szCs w:val="18"/>
              </w:rPr>
            </w:pPr>
            <w:r w:rsidRPr="00C14E50">
              <w:rPr>
                <w:rFonts w:ascii="Noto Sans" w:hAnsi="Noto Sans" w:cs="Noto Sans"/>
                <w:szCs w:val="18"/>
              </w:rPr>
              <w:t>9</w:t>
            </w:r>
          </w:p>
        </w:tc>
        <w:tc>
          <w:tcPr>
            <w:tcW w:w="2183" w:type="pct"/>
            <w:shd w:val="clear" w:color="auto" w:fill="FFFDE6"/>
            <w:tcMar>
              <w:top w:w="72" w:type="dxa"/>
              <w:left w:w="144" w:type="dxa"/>
              <w:bottom w:w="72" w:type="dxa"/>
              <w:right w:w="144" w:type="dxa"/>
            </w:tcMar>
            <w:vAlign w:val="center"/>
            <w:hideMark/>
          </w:tcPr>
          <w:p w14:paraId="0D03F418"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419"/>
              </w:rPr>
              <w:t>Coordinar las instancias fiscalizadoras que eviten duplicar información.</w:t>
            </w:r>
          </w:p>
        </w:tc>
      </w:tr>
      <w:tr w:rsidR="00EC0FAF" w:rsidRPr="00C14E50" w14:paraId="3BECDF3B" w14:textId="77777777" w:rsidTr="001D4B36">
        <w:trPr>
          <w:trHeight w:val="835"/>
        </w:trPr>
        <w:tc>
          <w:tcPr>
            <w:tcW w:w="889" w:type="pct"/>
            <w:shd w:val="clear" w:color="auto" w:fill="FFF2CC"/>
            <w:tcMar>
              <w:top w:w="72" w:type="dxa"/>
              <w:left w:w="144" w:type="dxa"/>
              <w:bottom w:w="72" w:type="dxa"/>
              <w:right w:w="144" w:type="dxa"/>
            </w:tcMar>
            <w:vAlign w:val="center"/>
            <w:hideMark/>
          </w:tcPr>
          <w:p w14:paraId="0CF363E8"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ES"/>
              </w:rPr>
              <w:t>DEMANDAS</w:t>
            </w:r>
          </w:p>
        </w:tc>
        <w:tc>
          <w:tcPr>
            <w:tcW w:w="933" w:type="pct"/>
            <w:shd w:val="clear" w:color="auto" w:fill="FFF2CC"/>
            <w:tcMar>
              <w:top w:w="72" w:type="dxa"/>
              <w:left w:w="144" w:type="dxa"/>
              <w:bottom w:w="72" w:type="dxa"/>
              <w:right w:w="144" w:type="dxa"/>
            </w:tcMar>
            <w:vAlign w:val="center"/>
            <w:hideMark/>
          </w:tcPr>
          <w:p w14:paraId="704C66AA"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3</w:t>
            </w:r>
          </w:p>
        </w:tc>
        <w:tc>
          <w:tcPr>
            <w:tcW w:w="995" w:type="pct"/>
            <w:shd w:val="clear" w:color="auto" w:fill="FFF2CC"/>
            <w:tcMar>
              <w:top w:w="72" w:type="dxa"/>
              <w:left w:w="144" w:type="dxa"/>
              <w:bottom w:w="72" w:type="dxa"/>
              <w:right w:w="144" w:type="dxa"/>
            </w:tcMar>
            <w:vAlign w:val="center"/>
            <w:hideMark/>
          </w:tcPr>
          <w:p w14:paraId="3E0B681E" w14:textId="4870E641" w:rsidR="006F7F68" w:rsidRPr="00C14E50" w:rsidRDefault="00C24D1F" w:rsidP="007A473A">
            <w:pPr>
              <w:spacing w:after="0"/>
              <w:jc w:val="center"/>
              <w:rPr>
                <w:rFonts w:ascii="Noto Sans" w:hAnsi="Noto Sans" w:cs="Noto Sans"/>
                <w:color w:val="FF0000"/>
                <w:szCs w:val="18"/>
              </w:rPr>
            </w:pPr>
            <w:r w:rsidRPr="00C14E50">
              <w:rPr>
                <w:rFonts w:ascii="Noto Sans" w:hAnsi="Noto Sans" w:cs="Noto Sans"/>
                <w:szCs w:val="18"/>
              </w:rPr>
              <w:t>4</w:t>
            </w:r>
          </w:p>
        </w:tc>
        <w:tc>
          <w:tcPr>
            <w:tcW w:w="2183" w:type="pct"/>
            <w:shd w:val="clear" w:color="auto" w:fill="FFF2CC"/>
            <w:tcMar>
              <w:top w:w="72" w:type="dxa"/>
              <w:left w:w="144" w:type="dxa"/>
              <w:bottom w:w="72" w:type="dxa"/>
              <w:right w:w="144" w:type="dxa"/>
            </w:tcMar>
            <w:vAlign w:val="center"/>
            <w:hideMark/>
          </w:tcPr>
          <w:p w14:paraId="56A61127"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419"/>
              </w:rPr>
              <w:t xml:space="preserve">Mejorar las normas de contratación académica y mecanismos de término de las relaciones laborales. </w:t>
            </w:r>
          </w:p>
        </w:tc>
      </w:tr>
      <w:tr w:rsidR="00EC0FAF" w:rsidRPr="00C14E50" w14:paraId="39FD8A73" w14:textId="77777777" w:rsidTr="001D4B36">
        <w:trPr>
          <w:trHeight w:val="181"/>
        </w:trPr>
        <w:tc>
          <w:tcPr>
            <w:tcW w:w="889" w:type="pct"/>
            <w:shd w:val="clear" w:color="auto" w:fill="FFFDE6"/>
            <w:tcMar>
              <w:top w:w="72" w:type="dxa"/>
              <w:left w:w="144" w:type="dxa"/>
              <w:bottom w:w="72" w:type="dxa"/>
              <w:right w:w="144" w:type="dxa"/>
            </w:tcMar>
            <w:vAlign w:val="center"/>
            <w:hideMark/>
          </w:tcPr>
          <w:p w14:paraId="093CC104"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ES"/>
              </w:rPr>
              <w:t>PASIVOS</w:t>
            </w:r>
          </w:p>
        </w:tc>
        <w:tc>
          <w:tcPr>
            <w:tcW w:w="933" w:type="pct"/>
            <w:shd w:val="clear" w:color="auto" w:fill="FFFDE6"/>
            <w:tcMar>
              <w:top w:w="72" w:type="dxa"/>
              <w:left w:w="144" w:type="dxa"/>
              <w:bottom w:w="72" w:type="dxa"/>
              <w:right w:w="144" w:type="dxa"/>
            </w:tcMar>
            <w:vAlign w:val="center"/>
            <w:hideMark/>
          </w:tcPr>
          <w:p w14:paraId="7AC55D1D"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$ 11,589,054.22</w:t>
            </w:r>
          </w:p>
        </w:tc>
        <w:tc>
          <w:tcPr>
            <w:tcW w:w="995" w:type="pct"/>
            <w:shd w:val="clear" w:color="auto" w:fill="FFFDE6"/>
            <w:tcMar>
              <w:top w:w="72" w:type="dxa"/>
              <w:left w:w="144" w:type="dxa"/>
              <w:bottom w:w="72" w:type="dxa"/>
              <w:right w:w="144" w:type="dxa"/>
            </w:tcMar>
            <w:vAlign w:val="center"/>
            <w:hideMark/>
          </w:tcPr>
          <w:p w14:paraId="00921740" w14:textId="33E1884B"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 xml:space="preserve">$ </w:t>
            </w:r>
            <w:r w:rsidR="00BD531E" w:rsidRPr="00C14E50">
              <w:rPr>
                <w:rFonts w:ascii="Noto Sans" w:hAnsi="Noto Sans" w:cs="Noto Sans"/>
                <w:szCs w:val="18"/>
              </w:rPr>
              <w:t>14,470,879.02</w:t>
            </w:r>
          </w:p>
        </w:tc>
        <w:tc>
          <w:tcPr>
            <w:tcW w:w="2183" w:type="pct"/>
            <w:shd w:val="clear" w:color="auto" w:fill="FFFDE6"/>
            <w:tcMar>
              <w:top w:w="72" w:type="dxa"/>
              <w:left w:w="144" w:type="dxa"/>
              <w:bottom w:w="72" w:type="dxa"/>
              <w:right w:w="144" w:type="dxa"/>
            </w:tcMar>
            <w:vAlign w:val="center"/>
            <w:hideMark/>
          </w:tcPr>
          <w:p w14:paraId="7F92B382"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rPr>
              <w:t>Se trata de impuestos por pagar. El Instituto no tiene deudas fuera de la operación.</w:t>
            </w:r>
          </w:p>
        </w:tc>
      </w:tr>
      <w:tr w:rsidR="00EC0FAF" w:rsidRPr="00C14E50" w14:paraId="0D1A02A9" w14:textId="77777777" w:rsidTr="001D4B36">
        <w:trPr>
          <w:trHeight w:val="639"/>
        </w:trPr>
        <w:tc>
          <w:tcPr>
            <w:tcW w:w="889" w:type="pct"/>
            <w:shd w:val="clear" w:color="auto" w:fill="FFF2CC"/>
            <w:tcMar>
              <w:top w:w="72" w:type="dxa"/>
              <w:left w:w="144" w:type="dxa"/>
              <w:bottom w:w="72" w:type="dxa"/>
              <w:right w:w="144" w:type="dxa"/>
            </w:tcMar>
            <w:vAlign w:val="center"/>
            <w:hideMark/>
          </w:tcPr>
          <w:p w14:paraId="4EB52555"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ES"/>
              </w:rPr>
              <w:t>NORMATIVA APLICADA</w:t>
            </w:r>
          </w:p>
        </w:tc>
        <w:tc>
          <w:tcPr>
            <w:tcW w:w="933" w:type="pct"/>
            <w:shd w:val="clear" w:color="auto" w:fill="FFF2CC"/>
            <w:tcMar>
              <w:top w:w="72" w:type="dxa"/>
              <w:left w:w="144" w:type="dxa"/>
              <w:bottom w:w="72" w:type="dxa"/>
              <w:right w:w="144" w:type="dxa"/>
            </w:tcMar>
            <w:vAlign w:val="center"/>
            <w:hideMark/>
          </w:tcPr>
          <w:p w14:paraId="166619A1"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38 normas</w:t>
            </w:r>
          </w:p>
        </w:tc>
        <w:tc>
          <w:tcPr>
            <w:tcW w:w="995" w:type="pct"/>
            <w:shd w:val="clear" w:color="auto" w:fill="FFF2CC"/>
            <w:tcMar>
              <w:top w:w="72" w:type="dxa"/>
              <w:left w:w="144" w:type="dxa"/>
              <w:bottom w:w="72" w:type="dxa"/>
              <w:right w:w="144" w:type="dxa"/>
            </w:tcMar>
            <w:vAlign w:val="center"/>
            <w:hideMark/>
          </w:tcPr>
          <w:p w14:paraId="65F1F09B"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46 LHCTI</w:t>
            </w:r>
          </w:p>
        </w:tc>
        <w:tc>
          <w:tcPr>
            <w:tcW w:w="2183" w:type="pct"/>
            <w:shd w:val="clear" w:color="auto" w:fill="FFF2CC"/>
            <w:tcMar>
              <w:top w:w="72" w:type="dxa"/>
              <w:left w:w="144" w:type="dxa"/>
              <w:bottom w:w="72" w:type="dxa"/>
              <w:right w:w="144" w:type="dxa"/>
            </w:tcMar>
            <w:vAlign w:val="center"/>
            <w:hideMark/>
          </w:tcPr>
          <w:p w14:paraId="0DA85037"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419"/>
              </w:rPr>
              <w:t>Continuar la implementación de la LGHCTI.</w:t>
            </w:r>
          </w:p>
        </w:tc>
      </w:tr>
      <w:tr w:rsidR="00EC0FAF" w:rsidRPr="00C14E50" w14:paraId="506B68D3" w14:textId="77777777" w:rsidTr="001D4B36">
        <w:trPr>
          <w:trHeight w:val="368"/>
        </w:trPr>
        <w:tc>
          <w:tcPr>
            <w:tcW w:w="889" w:type="pct"/>
            <w:shd w:val="clear" w:color="auto" w:fill="FFFDE6"/>
            <w:tcMar>
              <w:top w:w="72" w:type="dxa"/>
              <w:left w:w="144" w:type="dxa"/>
              <w:bottom w:w="72" w:type="dxa"/>
              <w:right w:w="144" w:type="dxa"/>
            </w:tcMar>
            <w:vAlign w:val="center"/>
            <w:hideMark/>
          </w:tcPr>
          <w:p w14:paraId="39E4B51B"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ES"/>
              </w:rPr>
              <w:t>MALAS PRÁCTICAS</w:t>
            </w:r>
          </w:p>
        </w:tc>
        <w:tc>
          <w:tcPr>
            <w:tcW w:w="933" w:type="pct"/>
            <w:shd w:val="clear" w:color="auto" w:fill="FFFDE6"/>
            <w:tcMar>
              <w:top w:w="72" w:type="dxa"/>
              <w:left w:w="144" w:type="dxa"/>
              <w:bottom w:w="72" w:type="dxa"/>
              <w:right w:w="144" w:type="dxa"/>
            </w:tcMar>
            <w:vAlign w:val="center"/>
            <w:hideMark/>
          </w:tcPr>
          <w:p w14:paraId="1604B0FE"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NINGUNA</w:t>
            </w:r>
          </w:p>
        </w:tc>
        <w:tc>
          <w:tcPr>
            <w:tcW w:w="995" w:type="pct"/>
            <w:shd w:val="clear" w:color="auto" w:fill="FFFDE6"/>
            <w:tcMar>
              <w:top w:w="72" w:type="dxa"/>
              <w:left w:w="144" w:type="dxa"/>
              <w:bottom w:w="72" w:type="dxa"/>
              <w:right w:w="144" w:type="dxa"/>
            </w:tcMar>
            <w:vAlign w:val="center"/>
            <w:hideMark/>
          </w:tcPr>
          <w:p w14:paraId="4D06AE21"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NINGUNA</w:t>
            </w:r>
          </w:p>
        </w:tc>
        <w:tc>
          <w:tcPr>
            <w:tcW w:w="2183" w:type="pct"/>
            <w:shd w:val="clear" w:color="auto" w:fill="FFFDE6"/>
            <w:tcMar>
              <w:top w:w="72" w:type="dxa"/>
              <w:left w:w="144" w:type="dxa"/>
              <w:bottom w:w="72" w:type="dxa"/>
              <w:right w:w="144" w:type="dxa"/>
            </w:tcMar>
            <w:vAlign w:val="center"/>
            <w:hideMark/>
          </w:tcPr>
          <w:p w14:paraId="14530820"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419"/>
              </w:rPr>
              <w:t>En el INECOL los sistemas administrativos y de fiscalización no lo permiten.</w:t>
            </w:r>
          </w:p>
        </w:tc>
      </w:tr>
      <w:bookmarkEnd w:id="0"/>
    </w:tbl>
    <w:p w14:paraId="2222CAB5" w14:textId="77777777" w:rsidR="001D4B36" w:rsidRPr="001D4B36" w:rsidRDefault="001D4B36" w:rsidP="001D4B36">
      <w:pPr>
        <w:pStyle w:val="paragraph"/>
        <w:spacing w:before="0" w:beforeAutospacing="0" w:after="80" w:afterAutospacing="0" w:line="240" w:lineRule="atLeast"/>
        <w:jc w:val="both"/>
        <w:textAlignment w:val="baseline"/>
        <w:rPr>
          <w:rStyle w:val="normaltextrun"/>
          <w:rFonts w:ascii="Noto Sans" w:eastAsiaTheme="majorEastAsia" w:hAnsi="Noto Sans" w:cs="Noto Sans"/>
          <w:sz w:val="20"/>
          <w:szCs w:val="20"/>
        </w:rPr>
      </w:pPr>
    </w:p>
    <w:p w14:paraId="43A13F25" w14:textId="2BC73CF3" w:rsidR="006F7F68" w:rsidRPr="001D4B36" w:rsidRDefault="001D4B36" w:rsidP="00C14E50">
      <w:pPr>
        <w:pStyle w:val="Contenido1"/>
      </w:pPr>
      <w:r w:rsidRPr="001D4B36">
        <w:rPr>
          <w:rStyle w:val="normaltextrun"/>
          <w:rFonts w:eastAsiaTheme="majorEastAsia" w:cs="Noto Sans"/>
          <w:szCs w:val="20"/>
        </w:rPr>
        <w:t>Sin duda el debate y la formulación de la Nueva Ley de Humanidades, Ciencias y Tecnologías (</w:t>
      </w:r>
      <w:proofErr w:type="spellStart"/>
      <w:r w:rsidRPr="001D4B36">
        <w:rPr>
          <w:rStyle w:val="normaltextrun"/>
          <w:rFonts w:eastAsiaTheme="majorEastAsia" w:cs="Noto Sans"/>
          <w:szCs w:val="20"/>
        </w:rPr>
        <w:t>NLHCTeI</w:t>
      </w:r>
      <w:proofErr w:type="spellEnd"/>
      <w:r w:rsidRPr="001D4B36">
        <w:rPr>
          <w:rStyle w:val="normaltextrun"/>
          <w:rFonts w:eastAsiaTheme="majorEastAsia" w:cs="Noto Sans"/>
          <w:szCs w:val="20"/>
        </w:rPr>
        <w:t>) ocupó gran parte del tiempo de la comunidad académica nacional para proponer un marco jurídico acorde con las propuestas de transformación del país. El INECOL en ambos años no tuvo registros de malas prácticas.</w:t>
      </w:r>
    </w:p>
    <w:p w14:paraId="1C0035C7" w14:textId="79D2BF87" w:rsidR="006F7F68" w:rsidRPr="001D4B36" w:rsidRDefault="006F7F68" w:rsidP="00C14E50">
      <w:pPr>
        <w:pStyle w:val="Negritas"/>
      </w:pPr>
      <w:r w:rsidRPr="001D4B36">
        <w:lastRenderedPageBreak/>
        <w:t>Retos para el próximo sexenio 2024-2030</w:t>
      </w:r>
    </w:p>
    <w:p w14:paraId="4F1BC3C5" w14:textId="77777777" w:rsidR="006F7F68" w:rsidRPr="001D4B36" w:rsidRDefault="006F7F68" w:rsidP="00C14E50">
      <w:pPr>
        <w:pStyle w:val="Contenido1"/>
      </w:pPr>
      <w:r w:rsidRPr="001D4B36">
        <w:t>Imaginar el futuro institucional del INECOL es una tarea central porque el año próximo se cumplirán 50 años de su fundación, rápidamente se puede afirmar que se trata de una institución consolidada. Al evaluar su desempeño se identifican tres escenarios: a) mantener la calidad lograra, b) mejorar aquellos aspectos que limitan sus impactos y optimizar el uso de su capacidad, y c) de manera optimista, proponer un crecimiento que contribuya a lograr los objetivos de la reciente administración federal.</w:t>
      </w:r>
    </w:p>
    <w:p w14:paraId="77324A69" w14:textId="77777777" w:rsidR="006F7F68" w:rsidRPr="001D4B36" w:rsidRDefault="006F7F68" w:rsidP="00C14E50">
      <w:pPr>
        <w:pStyle w:val="Contenido1"/>
      </w:pPr>
      <w:r w:rsidRPr="001D4B36">
        <w:t xml:space="preserve">En los análisis realizados en el Sistema Nacional de Centros Públicos se reconoce que existen diferencias salariales en los centros del CONAHCYT y con otras instituciones académicas del país. Es prioritario mejorar los salarios del personal, sobre todo del personal administrativo. La infraestructura institucional requiere de mantenimiento permanente y por varios años los presupuestos del INECOL no tuvieron recursos asignados. Lo mismo sucede con la partida de mantenimiento y compra de equipo de laboratorio.  </w:t>
      </w:r>
    </w:p>
    <w:p w14:paraId="5F5D82EC" w14:textId="77777777" w:rsidR="006F7F68" w:rsidRPr="001D4B36" w:rsidRDefault="006F7F68" w:rsidP="00C14E50">
      <w:pPr>
        <w:pStyle w:val="Contenido1"/>
      </w:pPr>
      <w:r w:rsidRPr="001D4B36">
        <w:t>En particular, durante la gestión del Dr. Martín Aluja (2010-2017) se logró la formación del Campus III con el impulso de nuevas líneas de investigación. Entre 2013 y 2015 se adquirieron 45 equipos de alto desempeño y de ahora en adelante nos enfrentamos a la renovación de la mayoría de ellos, si se quiere mantener la presencia del INECOL en esos campos de investigación de frontera.</w:t>
      </w:r>
    </w:p>
    <w:p w14:paraId="21747D6A" w14:textId="77777777" w:rsidR="006F7F68" w:rsidRPr="001D4B36" w:rsidRDefault="006F7F68" w:rsidP="00C14E50">
      <w:pPr>
        <w:pStyle w:val="Contenido1"/>
      </w:pPr>
      <w:r w:rsidRPr="001D4B36">
        <w:t xml:space="preserve">Para monitorear el ambiente y realizar estudios de campo en los sistemas </w:t>
      </w:r>
      <w:proofErr w:type="spellStart"/>
      <w:r w:rsidRPr="001D4B36">
        <w:t>socioecológicos</w:t>
      </w:r>
      <w:proofErr w:type="spellEnd"/>
      <w:r w:rsidRPr="001D4B36">
        <w:t xml:space="preserve"> es indispensable realizar trabajo de campo. El INECOL tiene 60 vehículos y los más antiguos tienen 30 años de uso y los más recientes 10. Se necesita su renovación completa.</w:t>
      </w:r>
    </w:p>
    <w:p w14:paraId="0CFC11A5" w14:textId="77777777" w:rsidR="006F7F68" w:rsidRPr="001D4B36" w:rsidRDefault="006F7F68" w:rsidP="00C14E50">
      <w:pPr>
        <w:pStyle w:val="Contenido1"/>
      </w:pPr>
      <w:r w:rsidRPr="001D4B36">
        <w:t xml:space="preserve">Sin duda, la meta de incrementar la formación de maestros y doctores del Gobierno Federal nos compete a los Centros Públicos. El Posgrado del INECOL podría ampliar su incidencia al mejorar los apoyos económicos para sus programas.      </w:t>
      </w:r>
    </w:p>
    <w:p w14:paraId="3D3D9B04" w14:textId="16307DAF" w:rsidR="006F7F68" w:rsidRPr="001D4B36" w:rsidRDefault="006F7F68" w:rsidP="006F7F68">
      <w:pPr>
        <w:pStyle w:val="paragraph"/>
        <w:spacing w:before="0" w:beforeAutospacing="0" w:after="80" w:afterAutospacing="0" w:line="240" w:lineRule="atLeast"/>
        <w:jc w:val="center"/>
        <w:textAlignment w:val="baseline"/>
        <w:rPr>
          <w:rStyle w:val="normaltextrun"/>
          <w:rFonts w:ascii="Noto Sans" w:eastAsiaTheme="majorEastAsia" w:hAnsi="Noto Sans" w:cs="Noto Sans"/>
          <w:sz w:val="20"/>
          <w:szCs w:val="20"/>
        </w:rPr>
      </w:pPr>
      <w:r w:rsidRPr="001D4B36">
        <w:rPr>
          <w:rStyle w:val="normaltextrun"/>
          <w:rFonts w:ascii="Noto Sans" w:eastAsiaTheme="majorEastAsia" w:hAnsi="Noto Sans" w:cs="Noto Sans"/>
          <w:sz w:val="20"/>
          <w:szCs w:val="20"/>
        </w:rPr>
        <w:t xml:space="preserve">Tabla </w:t>
      </w:r>
      <w:r w:rsidR="00B10E87">
        <w:rPr>
          <w:rStyle w:val="normaltextrun"/>
          <w:rFonts w:ascii="Noto Sans" w:eastAsiaTheme="majorEastAsia" w:hAnsi="Noto Sans" w:cs="Noto Sans"/>
          <w:sz w:val="20"/>
          <w:szCs w:val="20"/>
        </w:rPr>
        <w:t>2</w:t>
      </w:r>
      <w:r w:rsidRPr="001D4B36">
        <w:rPr>
          <w:rStyle w:val="normaltextrun"/>
          <w:rFonts w:ascii="Noto Sans" w:eastAsiaTheme="majorEastAsia" w:hAnsi="Noto Sans" w:cs="Noto Sans"/>
          <w:sz w:val="20"/>
          <w:szCs w:val="20"/>
        </w:rPr>
        <w:t xml:space="preserve">. </w:t>
      </w:r>
      <w:r w:rsidRPr="001D4B36">
        <w:rPr>
          <w:rFonts w:ascii="Noto Sans" w:hAnsi="Noto Sans" w:cs="Noto Sans"/>
          <w:sz w:val="20"/>
          <w:szCs w:val="20"/>
        </w:rPr>
        <w:t>Retos para el Próximo Sexenio 2024-2030</w:t>
      </w:r>
    </w:p>
    <w:tbl>
      <w:tblPr>
        <w:tblW w:w="5000" w:type="pct"/>
        <w:tblCellMar>
          <w:left w:w="0" w:type="dxa"/>
          <w:right w:w="0" w:type="dxa"/>
        </w:tblCellMar>
        <w:tblLook w:val="0420" w:firstRow="1" w:lastRow="0" w:firstColumn="0" w:lastColumn="0" w:noHBand="0" w:noVBand="1"/>
      </w:tblPr>
      <w:tblGrid>
        <w:gridCol w:w="1812"/>
        <w:gridCol w:w="1466"/>
        <w:gridCol w:w="1463"/>
        <w:gridCol w:w="4077"/>
      </w:tblGrid>
      <w:tr w:rsidR="00EC0FAF" w:rsidRPr="00C14E50" w14:paraId="1DFCFF35" w14:textId="77777777" w:rsidTr="00EC0FAF">
        <w:trPr>
          <w:trHeight w:val="594"/>
        </w:trPr>
        <w:tc>
          <w:tcPr>
            <w:tcW w:w="1030" w:type="pct"/>
            <w:tcBorders>
              <w:top w:val="single" w:sz="8" w:space="0" w:color="FFFFFF"/>
              <w:left w:val="single" w:sz="8" w:space="0" w:color="FFFFFF"/>
              <w:bottom w:val="single" w:sz="8" w:space="0" w:color="FFFFFF"/>
              <w:right w:val="single" w:sz="8" w:space="0" w:color="FFFFFF"/>
            </w:tcBorders>
            <w:shd w:val="clear" w:color="auto" w:fill="9E2A2C"/>
            <w:tcMar>
              <w:top w:w="72" w:type="dxa"/>
              <w:left w:w="144" w:type="dxa"/>
              <w:bottom w:w="72" w:type="dxa"/>
              <w:right w:w="144" w:type="dxa"/>
            </w:tcMar>
          </w:tcPr>
          <w:p w14:paraId="7F70CB81" w14:textId="77777777" w:rsidR="006F7F68" w:rsidRPr="00C14E50" w:rsidRDefault="006F7F68" w:rsidP="007A473A">
            <w:pPr>
              <w:spacing w:after="0"/>
              <w:jc w:val="center"/>
              <w:rPr>
                <w:rFonts w:ascii="Noto Sans" w:hAnsi="Noto Sans" w:cs="Noto Sans"/>
                <w:b/>
                <w:bCs/>
                <w:szCs w:val="18"/>
              </w:rPr>
            </w:pPr>
            <w:r w:rsidRPr="00C14E50">
              <w:rPr>
                <w:rFonts w:ascii="Noto Sans" w:hAnsi="Noto Sans" w:cs="Noto Sans"/>
                <w:b/>
                <w:bCs/>
                <w:color w:val="FFFFFF" w:themeColor="background1"/>
                <w:szCs w:val="18"/>
                <w:lang w:val="es-419"/>
              </w:rPr>
              <w:t>COMPARATIVO 2019-2024</w:t>
            </w:r>
          </w:p>
        </w:tc>
        <w:tc>
          <w:tcPr>
            <w:tcW w:w="834" w:type="pct"/>
            <w:tcBorders>
              <w:top w:val="single" w:sz="8" w:space="0" w:color="FFFFFF"/>
              <w:left w:val="single" w:sz="8" w:space="0" w:color="FFFFFF"/>
              <w:bottom w:val="single" w:sz="8" w:space="0" w:color="FFFFFF"/>
              <w:right w:val="single" w:sz="8" w:space="0" w:color="FFFFFF"/>
            </w:tcBorders>
            <w:shd w:val="clear" w:color="auto" w:fill="9E2A2C"/>
          </w:tcPr>
          <w:p w14:paraId="253C1903" w14:textId="77777777" w:rsidR="006F7F68" w:rsidRPr="00C14E50" w:rsidRDefault="006F7F68" w:rsidP="007A473A">
            <w:pPr>
              <w:spacing w:after="0"/>
              <w:jc w:val="center"/>
              <w:rPr>
                <w:rFonts w:ascii="Noto Sans" w:hAnsi="Noto Sans" w:cs="Noto Sans"/>
                <w:b/>
                <w:bCs/>
                <w:szCs w:val="18"/>
              </w:rPr>
            </w:pPr>
            <w:r w:rsidRPr="00C14E50">
              <w:rPr>
                <w:rFonts w:ascii="Noto Sans" w:hAnsi="Noto Sans" w:cs="Noto Sans"/>
                <w:b/>
                <w:bCs/>
                <w:color w:val="FFFFFF" w:themeColor="background1"/>
                <w:szCs w:val="18"/>
                <w:lang w:val="es-ES"/>
              </w:rPr>
              <w:t>2019</w:t>
            </w:r>
          </w:p>
        </w:tc>
        <w:tc>
          <w:tcPr>
            <w:tcW w:w="822" w:type="pct"/>
            <w:tcBorders>
              <w:top w:val="single" w:sz="8" w:space="0" w:color="FFFFFF"/>
              <w:left w:val="single" w:sz="8" w:space="0" w:color="FFFFFF"/>
              <w:bottom w:val="single" w:sz="8" w:space="0" w:color="FFFFFF"/>
              <w:right w:val="single" w:sz="8" w:space="0" w:color="FFFFFF"/>
            </w:tcBorders>
            <w:shd w:val="clear" w:color="auto" w:fill="9E2A2C"/>
          </w:tcPr>
          <w:p w14:paraId="0D985964" w14:textId="77777777" w:rsidR="006F7F68" w:rsidRPr="00C14E50" w:rsidRDefault="006F7F68" w:rsidP="007A473A">
            <w:pPr>
              <w:spacing w:after="0"/>
              <w:jc w:val="center"/>
              <w:rPr>
                <w:rFonts w:ascii="Noto Sans" w:hAnsi="Noto Sans" w:cs="Noto Sans"/>
                <w:b/>
                <w:bCs/>
                <w:szCs w:val="18"/>
              </w:rPr>
            </w:pPr>
            <w:r w:rsidRPr="00C14E50">
              <w:rPr>
                <w:rFonts w:ascii="Noto Sans" w:hAnsi="Noto Sans" w:cs="Noto Sans"/>
                <w:b/>
                <w:bCs/>
                <w:color w:val="FFFFFF" w:themeColor="background1"/>
                <w:szCs w:val="18"/>
                <w:lang w:val="es-ES"/>
              </w:rPr>
              <w:t>2024</w:t>
            </w:r>
          </w:p>
        </w:tc>
        <w:tc>
          <w:tcPr>
            <w:tcW w:w="2315" w:type="pct"/>
            <w:tcBorders>
              <w:top w:val="single" w:sz="8" w:space="0" w:color="FFFFFF"/>
              <w:left w:val="single" w:sz="8" w:space="0" w:color="FFFFFF"/>
              <w:bottom w:val="single" w:sz="8" w:space="0" w:color="FFFFFF"/>
              <w:right w:val="single" w:sz="8" w:space="0" w:color="FFFFFF"/>
            </w:tcBorders>
            <w:shd w:val="clear" w:color="auto" w:fill="9E2A2C"/>
          </w:tcPr>
          <w:p w14:paraId="28AA07E1" w14:textId="77777777" w:rsidR="006F7F68" w:rsidRPr="00C14E50" w:rsidRDefault="006F7F68" w:rsidP="007A473A">
            <w:pPr>
              <w:spacing w:after="0"/>
              <w:jc w:val="center"/>
              <w:rPr>
                <w:rFonts w:ascii="Noto Sans" w:hAnsi="Noto Sans" w:cs="Noto Sans"/>
                <w:b/>
                <w:bCs/>
                <w:szCs w:val="18"/>
              </w:rPr>
            </w:pPr>
            <w:r w:rsidRPr="00C14E50">
              <w:rPr>
                <w:rFonts w:ascii="Noto Sans" w:hAnsi="Noto Sans" w:cs="Noto Sans"/>
                <w:b/>
                <w:bCs/>
                <w:color w:val="FFFFFF" w:themeColor="background1"/>
                <w:szCs w:val="18"/>
                <w:lang w:val="es-ES"/>
              </w:rPr>
              <w:t>COMENTARIOS</w:t>
            </w:r>
          </w:p>
        </w:tc>
      </w:tr>
      <w:tr w:rsidR="00EC0FAF" w:rsidRPr="00C14E50" w14:paraId="25ADA6B3" w14:textId="77777777" w:rsidTr="00EC0FAF">
        <w:trPr>
          <w:trHeight w:val="668"/>
        </w:trPr>
        <w:tc>
          <w:tcPr>
            <w:tcW w:w="1030"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0DD75E23"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ES"/>
              </w:rPr>
              <w:lastRenderedPageBreak/>
              <w:t>MEJORES PLAZAS PARA EL PERSONAL ADMINISTRATIVO</w:t>
            </w:r>
          </w:p>
        </w:tc>
        <w:tc>
          <w:tcPr>
            <w:tcW w:w="834"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1A431BF1"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87 Plazas ocupadas</w:t>
            </w:r>
          </w:p>
        </w:tc>
        <w:tc>
          <w:tcPr>
            <w:tcW w:w="822"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1B939B02"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88 plazas ocupadas</w:t>
            </w:r>
          </w:p>
        </w:tc>
        <w:tc>
          <w:tcPr>
            <w:tcW w:w="2315"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08AE66E2"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419"/>
              </w:rPr>
              <w:t>Valorar el trabajo especializado del personal administrativo con plazas altas de mejor salario.</w:t>
            </w:r>
          </w:p>
        </w:tc>
      </w:tr>
      <w:tr w:rsidR="00EC0FAF" w:rsidRPr="00C14E50" w14:paraId="28D71501" w14:textId="77777777" w:rsidTr="00EC0FAF">
        <w:trPr>
          <w:trHeight w:val="497"/>
        </w:trPr>
        <w:tc>
          <w:tcPr>
            <w:tcW w:w="1030" w:type="pct"/>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5650AABE" w14:textId="77777777" w:rsidR="006F7F68" w:rsidRPr="00C14E50" w:rsidRDefault="006F7F68" w:rsidP="007A473A">
            <w:pPr>
              <w:spacing w:after="0"/>
              <w:jc w:val="center"/>
              <w:rPr>
                <w:rFonts w:ascii="Noto Sans" w:hAnsi="Noto Sans" w:cs="Noto Sans"/>
                <w:szCs w:val="18"/>
                <w:lang w:val="es-ES"/>
              </w:rPr>
            </w:pPr>
            <w:r w:rsidRPr="00C14E50">
              <w:rPr>
                <w:rFonts w:ascii="Noto Sans" w:hAnsi="Noto Sans" w:cs="Noto Sans"/>
                <w:szCs w:val="18"/>
                <w:lang w:val="es-ES"/>
              </w:rPr>
              <w:t>MANTENIMIENTO</w:t>
            </w:r>
          </w:p>
          <w:p w14:paraId="11E0D628" w14:textId="6356C76D" w:rsidR="00BD531E" w:rsidRPr="00C14E50" w:rsidRDefault="00BD531E" w:rsidP="007A473A">
            <w:pPr>
              <w:spacing w:after="0"/>
              <w:jc w:val="center"/>
              <w:rPr>
                <w:rFonts w:ascii="Noto Sans" w:hAnsi="Noto Sans" w:cs="Noto Sans"/>
                <w:szCs w:val="18"/>
              </w:rPr>
            </w:pPr>
            <w:r w:rsidRPr="00C14E50">
              <w:rPr>
                <w:rFonts w:ascii="Noto Sans" w:hAnsi="Noto Sans" w:cs="Noto Sans"/>
                <w:szCs w:val="18"/>
                <w:lang w:val="es-ES"/>
              </w:rPr>
              <w:t>INMUEBLES, VEHICULOS Y CLIMAS.</w:t>
            </w:r>
          </w:p>
        </w:tc>
        <w:tc>
          <w:tcPr>
            <w:tcW w:w="834" w:type="pct"/>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798467B0"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$ 5,177,330.26</w:t>
            </w:r>
          </w:p>
        </w:tc>
        <w:tc>
          <w:tcPr>
            <w:tcW w:w="822" w:type="pct"/>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678ABCC0" w14:textId="67CA78E5"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 xml:space="preserve">$ </w:t>
            </w:r>
            <w:r w:rsidR="00A07007" w:rsidRPr="00C14E50">
              <w:rPr>
                <w:rFonts w:ascii="Noto Sans" w:hAnsi="Noto Sans" w:cs="Noto Sans"/>
                <w:szCs w:val="18"/>
              </w:rPr>
              <w:t>8,338,8007.05</w:t>
            </w:r>
          </w:p>
        </w:tc>
        <w:tc>
          <w:tcPr>
            <w:tcW w:w="2315" w:type="pct"/>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50780EA8"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419"/>
              </w:rPr>
              <w:t>Asignar recursos según el patrimonio existentes. Recuperar la investigación en Chihuahua y Durango donde tenemos infraestructura. Invertir en el valor intangible de las colecciones biológicas.</w:t>
            </w:r>
          </w:p>
        </w:tc>
      </w:tr>
      <w:tr w:rsidR="00EC0FAF" w:rsidRPr="00C14E50" w14:paraId="2A1CD3E6" w14:textId="77777777" w:rsidTr="00EC0FAF">
        <w:trPr>
          <w:trHeight w:val="639"/>
        </w:trPr>
        <w:tc>
          <w:tcPr>
            <w:tcW w:w="1030"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5E4D9643" w14:textId="77777777" w:rsidR="006F7F68" w:rsidRPr="00C14E50" w:rsidRDefault="006F7F68" w:rsidP="007A473A">
            <w:pPr>
              <w:spacing w:after="0"/>
              <w:rPr>
                <w:rFonts w:ascii="Noto Sans" w:hAnsi="Noto Sans" w:cs="Noto Sans"/>
                <w:szCs w:val="18"/>
                <w:lang w:val="es-ES"/>
              </w:rPr>
            </w:pPr>
            <w:r w:rsidRPr="00C14E50">
              <w:rPr>
                <w:rFonts w:ascii="Noto Sans" w:hAnsi="Noto Sans" w:cs="Noto Sans"/>
                <w:szCs w:val="18"/>
                <w:lang w:val="es-ES"/>
              </w:rPr>
              <w:t xml:space="preserve">ADQUISICIÓN DE EQUIPO </w:t>
            </w:r>
          </w:p>
          <w:p w14:paraId="618A6C71" w14:textId="77777777" w:rsidR="006F7F68" w:rsidRPr="00C14E50" w:rsidRDefault="006F7F68" w:rsidP="007A473A">
            <w:pPr>
              <w:spacing w:after="0"/>
              <w:rPr>
                <w:rFonts w:ascii="Noto Sans" w:hAnsi="Noto Sans" w:cs="Noto Sans"/>
                <w:szCs w:val="18"/>
              </w:rPr>
            </w:pPr>
          </w:p>
        </w:tc>
        <w:tc>
          <w:tcPr>
            <w:tcW w:w="834"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166F1EAB"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$ 12,725,070.74</w:t>
            </w:r>
          </w:p>
          <w:p w14:paraId="3FF84403" w14:textId="77777777" w:rsidR="006F7F68" w:rsidRPr="00C14E50" w:rsidRDefault="006F7F68" w:rsidP="007A473A">
            <w:pPr>
              <w:spacing w:after="0"/>
              <w:jc w:val="center"/>
              <w:rPr>
                <w:rFonts w:ascii="Noto Sans" w:hAnsi="Noto Sans" w:cs="Noto Sans"/>
                <w:color w:val="FF0000"/>
                <w:szCs w:val="18"/>
                <w:highlight w:val="yellow"/>
              </w:rPr>
            </w:pPr>
            <w:r w:rsidRPr="00C14E50">
              <w:rPr>
                <w:rFonts w:ascii="Noto Sans" w:hAnsi="Noto Sans" w:cs="Noto Sans"/>
                <w:szCs w:val="18"/>
                <w:lang w:val="es-ES"/>
              </w:rPr>
              <w:t>(ver anexo 1)</w:t>
            </w:r>
          </w:p>
        </w:tc>
        <w:tc>
          <w:tcPr>
            <w:tcW w:w="822"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32560247" w14:textId="2EF1CB40"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 xml:space="preserve">$ </w:t>
            </w:r>
            <w:r w:rsidR="00A70DFB" w:rsidRPr="00C14E50">
              <w:rPr>
                <w:rFonts w:ascii="Noto Sans" w:hAnsi="Noto Sans" w:cs="Noto Sans"/>
                <w:szCs w:val="18"/>
              </w:rPr>
              <w:t>3.289.060.93</w:t>
            </w:r>
          </w:p>
          <w:p w14:paraId="28A239CF" w14:textId="77777777" w:rsidR="006F7F68" w:rsidRPr="00C14E50" w:rsidRDefault="006F7F68" w:rsidP="007A473A">
            <w:pPr>
              <w:spacing w:after="0"/>
              <w:jc w:val="center"/>
              <w:rPr>
                <w:rFonts w:ascii="Noto Sans" w:hAnsi="Noto Sans" w:cs="Noto Sans"/>
                <w:color w:val="FF0000"/>
                <w:szCs w:val="18"/>
              </w:rPr>
            </w:pPr>
            <w:r w:rsidRPr="00C14E50">
              <w:rPr>
                <w:rFonts w:ascii="Noto Sans" w:hAnsi="Noto Sans" w:cs="Noto Sans"/>
                <w:szCs w:val="18"/>
                <w:lang w:val="es-ES"/>
              </w:rPr>
              <w:t>(ver anexo 1)</w:t>
            </w:r>
          </w:p>
        </w:tc>
        <w:tc>
          <w:tcPr>
            <w:tcW w:w="2315"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72906FC5"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419"/>
              </w:rPr>
              <w:t>Implementar una estrategia de uso optimo de recursos humanos, equipo y capacidad científica.</w:t>
            </w:r>
          </w:p>
        </w:tc>
      </w:tr>
      <w:tr w:rsidR="00EC0FAF" w:rsidRPr="00C14E50" w14:paraId="0F720135" w14:textId="77777777" w:rsidTr="00EC0FAF">
        <w:trPr>
          <w:trHeight w:val="497"/>
        </w:trPr>
        <w:tc>
          <w:tcPr>
            <w:tcW w:w="1030" w:type="pct"/>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2EF9F7CC"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ES"/>
              </w:rPr>
              <w:t>ADQUISICIÓN DE VEHÍCULOS</w:t>
            </w:r>
          </w:p>
        </w:tc>
        <w:tc>
          <w:tcPr>
            <w:tcW w:w="834" w:type="pct"/>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46A40D66" w14:textId="77777777" w:rsidR="006F7F68" w:rsidRPr="00C14E50" w:rsidRDefault="006F7F68" w:rsidP="007A473A">
            <w:pPr>
              <w:spacing w:after="0"/>
              <w:jc w:val="center"/>
              <w:rPr>
                <w:rFonts w:ascii="Noto Sans" w:hAnsi="Noto Sans" w:cs="Noto Sans"/>
                <w:szCs w:val="18"/>
              </w:rPr>
            </w:pPr>
            <w:r w:rsidRPr="00C14E50">
              <w:rPr>
                <w:rFonts w:ascii="Noto Sans" w:hAnsi="Noto Sans" w:cs="Noto Sans"/>
                <w:szCs w:val="18"/>
              </w:rPr>
              <w:t>0</w:t>
            </w:r>
          </w:p>
        </w:tc>
        <w:tc>
          <w:tcPr>
            <w:tcW w:w="822" w:type="pct"/>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1EA2D60D" w14:textId="77777777" w:rsidR="006F7F68" w:rsidRPr="00C14E50" w:rsidRDefault="006F7F68" w:rsidP="007A473A">
            <w:pPr>
              <w:spacing w:after="0"/>
              <w:jc w:val="center"/>
              <w:rPr>
                <w:rFonts w:ascii="Noto Sans" w:hAnsi="Noto Sans" w:cs="Noto Sans"/>
                <w:color w:val="FF0000"/>
                <w:szCs w:val="18"/>
              </w:rPr>
            </w:pPr>
            <w:r w:rsidRPr="00C14E50">
              <w:rPr>
                <w:rFonts w:ascii="Noto Sans" w:hAnsi="Noto Sans" w:cs="Noto Sans"/>
                <w:szCs w:val="18"/>
              </w:rPr>
              <w:t>0</w:t>
            </w:r>
          </w:p>
        </w:tc>
        <w:tc>
          <w:tcPr>
            <w:tcW w:w="2315" w:type="pct"/>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67FA7BF3" w14:textId="77777777" w:rsidR="006F7F68" w:rsidRPr="00C14E50" w:rsidRDefault="006F7F68" w:rsidP="007A473A">
            <w:pPr>
              <w:spacing w:after="0"/>
              <w:rPr>
                <w:rFonts w:ascii="Noto Sans" w:hAnsi="Noto Sans" w:cs="Noto Sans"/>
                <w:szCs w:val="18"/>
              </w:rPr>
            </w:pPr>
            <w:r w:rsidRPr="00C14E50">
              <w:rPr>
                <w:rFonts w:ascii="Noto Sans" w:hAnsi="Noto Sans" w:cs="Noto Sans"/>
                <w:szCs w:val="18"/>
                <w:lang w:val="es-419"/>
              </w:rPr>
              <w:t>Para el INECOL la movilidad y el trabajo de campo</w:t>
            </w:r>
            <w:r w:rsidRPr="00C14E50">
              <w:rPr>
                <w:rFonts w:ascii="Noto Sans" w:hAnsi="Noto Sans" w:cs="Noto Sans"/>
                <w:b/>
                <w:bCs/>
                <w:szCs w:val="18"/>
                <w:lang w:val="es-419"/>
              </w:rPr>
              <w:t xml:space="preserve"> </w:t>
            </w:r>
            <w:r w:rsidRPr="00C14E50">
              <w:rPr>
                <w:rFonts w:ascii="Noto Sans" w:hAnsi="Noto Sans" w:cs="Noto Sans"/>
                <w:szCs w:val="18"/>
                <w:lang w:val="es-419"/>
              </w:rPr>
              <w:t xml:space="preserve">son la herramienta de monitoreo de sistemas biológicos. </w:t>
            </w:r>
          </w:p>
        </w:tc>
      </w:tr>
      <w:tr w:rsidR="00EC0FAF" w:rsidRPr="00C14E50" w14:paraId="5FE13230" w14:textId="77777777" w:rsidTr="00EC0FAF">
        <w:trPr>
          <w:trHeight w:val="639"/>
        </w:trPr>
        <w:tc>
          <w:tcPr>
            <w:tcW w:w="1030"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23A4FF42" w14:textId="77777777" w:rsidR="006F7F68" w:rsidRPr="00C14E50" w:rsidRDefault="006F7F68" w:rsidP="007A473A">
            <w:pPr>
              <w:rPr>
                <w:rFonts w:ascii="Noto Sans" w:hAnsi="Noto Sans" w:cs="Noto Sans"/>
                <w:szCs w:val="18"/>
              </w:rPr>
            </w:pPr>
            <w:r w:rsidRPr="00C14E50">
              <w:rPr>
                <w:rFonts w:ascii="Noto Sans" w:hAnsi="Noto Sans" w:cs="Noto Sans"/>
                <w:szCs w:val="18"/>
                <w:lang w:val="es-ES"/>
              </w:rPr>
              <w:t>CRECIMIENTO DEL POSGRADO</w:t>
            </w:r>
          </w:p>
        </w:tc>
        <w:tc>
          <w:tcPr>
            <w:tcW w:w="834"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0BE158E0" w14:textId="77777777" w:rsidR="006F7F68" w:rsidRPr="00C14E50" w:rsidRDefault="006F7F68" w:rsidP="007A473A">
            <w:pPr>
              <w:jc w:val="center"/>
              <w:rPr>
                <w:rFonts w:ascii="Noto Sans" w:hAnsi="Noto Sans" w:cs="Noto Sans"/>
                <w:szCs w:val="18"/>
              </w:rPr>
            </w:pPr>
            <w:r w:rsidRPr="00C14E50">
              <w:rPr>
                <w:rFonts w:ascii="Noto Sans" w:hAnsi="Noto Sans" w:cs="Noto Sans"/>
                <w:szCs w:val="18"/>
              </w:rPr>
              <w:t>52</w:t>
            </w:r>
          </w:p>
        </w:tc>
        <w:tc>
          <w:tcPr>
            <w:tcW w:w="822"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5F1B514E" w14:textId="77777777" w:rsidR="006F7F68" w:rsidRPr="00C14E50" w:rsidRDefault="006F7F68" w:rsidP="007A473A">
            <w:pPr>
              <w:jc w:val="center"/>
              <w:rPr>
                <w:rFonts w:ascii="Noto Sans" w:hAnsi="Noto Sans" w:cs="Noto Sans"/>
                <w:color w:val="FF0000"/>
                <w:szCs w:val="18"/>
              </w:rPr>
            </w:pPr>
            <w:r w:rsidRPr="00C14E50">
              <w:rPr>
                <w:rFonts w:ascii="Noto Sans" w:hAnsi="Noto Sans" w:cs="Noto Sans"/>
                <w:szCs w:val="18"/>
              </w:rPr>
              <w:t>143</w:t>
            </w:r>
          </w:p>
        </w:tc>
        <w:tc>
          <w:tcPr>
            <w:tcW w:w="2315" w:type="pct"/>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360B0590" w14:textId="77777777" w:rsidR="006F7F68" w:rsidRPr="00C14E50" w:rsidRDefault="006F7F68" w:rsidP="007A473A">
            <w:pPr>
              <w:rPr>
                <w:rFonts w:ascii="Noto Sans" w:hAnsi="Noto Sans" w:cs="Noto Sans"/>
                <w:szCs w:val="18"/>
              </w:rPr>
            </w:pPr>
            <w:r w:rsidRPr="00C14E50">
              <w:rPr>
                <w:rFonts w:ascii="Noto Sans" w:hAnsi="Noto Sans" w:cs="Noto Sans"/>
                <w:szCs w:val="18"/>
                <w:lang w:val="es-419"/>
              </w:rPr>
              <w:t>El Sistema Nacional de Centros Públicos debería ser la base para atender la formación de talento humano en los posgrados.</w:t>
            </w:r>
          </w:p>
        </w:tc>
      </w:tr>
    </w:tbl>
    <w:p w14:paraId="5D4F4336" w14:textId="77777777" w:rsidR="006F7F68" w:rsidRPr="001D4B36" w:rsidRDefault="006F7F68" w:rsidP="006F7F68">
      <w:pPr>
        <w:tabs>
          <w:tab w:val="left" w:pos="3274"/>
        </w:tabs>
        <w:rPr>
          <w:rFonts w:ascii="Noto Sans" w:hAnsi="Noto Sans" w:cs="Noto Sans"/>
          <w:sz w:val="20"/>
          <w:szCs w:val="20"/>
        </w:rPr>
        <w:sectPr w:rsidR="006F7F68" w:rsidRPr="001D4B36" w:rsidSect="001D4B36">
          <w:headerReference w:type="default" r:id="rId8"/>
          <w:footerReference w:type="default" r:id="rId9"/>
          <w:pgSz w:w="12240" w:h="15840"/>
          <w:pgMar w:top="1877" w:right="1701" w:bottom="1418" w:left="1701" w:header="709" w:footer="709" w:gutter="0"/>
          <w:cols w:space="708"/>
          <w:docGrid w:linePitch="360"/>
        </w:sectPr>
      </w:pPr>
      <w:r w:rsidRPr="001D4B36">
        <w:rPr>
          <w:rFonts w:ascii="Noto Sans" w:hAnsi="Noto Sans" w:cs="Noto Sans"/>
          <w:sz w:val="20"/>
          <w:szCs w:val="20"/>
        </w:rPr>
        <w:tab/>
      </w:r>
    </w:p>
    <w:p w14:paraId="44D25E69" w14:textId="77777777" w:rsidR="006F7F68" w:rsidRPr="001D4B36" w:rsidRDefault="006F7F68" w:rsidP="00C14E50">
      <w:pPr>
        <w:pStyle w:val="Ttulo2"/>
        <w:rPr>
          <w:rStyle w:val="normaltextrun"/>
          <w:rFonts w:cs="Noto Sans"/>
          <w:b w:val="0"/>
          <w:bCs/>
          <w:szCs w:val="20"/>
        </w:rPr>
      </w:pPr>
      <w:r w:rsidRPr="001D4B36">
        <w:rPr>
          <w:rStyle w:val="normaltextrun"/>
          <w:rFonts w:cs="Noto Sans"/>
          <w:bCs/>
          <w:szCs w:val="20"/>
        </w:rPr>
        <w:lastRenderedPageBreak/>
        <w:t>6.1 Informe del cumplimiento de los 13 objetivos del Sistema Nacional de Centros Públicos</w:t>
      </w:r>
    </w:p>
    <w:p w14:paraId="557CBC48" w14:textId="5D5270A6" w:rsidR="006F7F68" w:rsidRPr="001D4B36" w:rsidRDefault="006F7F68" w:rsidP="006F7F68">
      <w:pPr>
        <w:kinsoku w:val="0"/>
        <w:overflowPunct w:val="0"/>
        <w:spacing w:before="7"/>
        <w:jc w:val="center"/>
        <w:rPr>
          <w:rFonts w:ascii="Noto Sans" w:hAnsi="Noto Sans" w:cs="Noto Sans"/>
          <w:sz w:val="20"/>
          <w:szCs w:val="20"/>
        </w:rPr>
      </w:pPr>
      <w:r w:rsidRPr="001D4B36">
        <w:rPr>
          <w:rStyle w:val="eop"/>
          <w:rFonts w:ascii="Noto Sans" w:eastAsia="Calibri Light" w:hAnsi="Noto Sans" w:cs="Noto Sans"/>
          <w:sz w:val="20"/>
          <w:szCs w:val="20"/>
        </w:rPr>
        <w:t xml:space="preserve">Tabla </w:t>
      </w:r>
      <w:r w:rsidR="00B10E87">
        <w:rPr>
          <w:rStyle w:val="eop"/>
          <w:rFonts w:ascii="Noto Sans" w:eastAsia="Calibri Light" w:hAnsi="Noto Sans" w:cs="Noto Sans"/>
          <w:sz w:val="20"/>
          <w:szCs w:val="20"/>
        </w:rPr>
        <w:t>3</w:t>
      </w:r>
      <w:r w:rsidRPr="001D4B36">
        <w:rPr>
          <w:rStyle w:val="eop"/>
          <w:rFonts w:ascii="Noto Sans" w:eastAsia="Calibri Light" w:hAnsi="Noto Sans" w:cs="Noto Sans"/>
          <w:sz w:val="20"/>
          <w:szCs w:val="20"/>
        </w:rPr>
        <w:t>. Objetivos Del Sistema Nacional de Centros Públicos (SNCP) 2024</w:t>
      </w:r>
    </w:p>
    <w:tbl>
      <w:tblPr>
        <w:tblStyle w:val="Tablaconcuadrcula"/>
        <w:tblW w:w="12611" w:type="dxa"/>
        <w:tblLook w:val="04A0" w:firstRow="1" w:lastRow="0" w:firstColumn="1" w:lastColumn="0" w:noHBand="0" w:noVBand="1"/>
      </w:tblPr>
      <w:tblGrid>
        <w:gridCol w:w="422"/>
        <w:gridCol w:w="3261"/>
        <w:gridCol w:w="4960"/>
        <w:gridCol w:w="3968"/>
      </w:tblGrid>
      <w:tr w:rsidR="006F7F68" w:rsidRPr="001D4B36" w14:paraId="7EC418EC" w14:textId="77777777" w:rsidTr="00C14E50">
        <w:trPr>
          <w:tblHeader/>
        </w:trPr>
        <w:tc>
          <w:tcPr>
            <w:tcW w:w="419" w:type="dxa"/>
            <w:shd w:val="clear" w:color="auto" w:fill="993366"/>
          </w:tcPr>
          <w:p w14:paraId="2D5003B4" w14:textId="77777777" w:rsidR="006F7F68" w:rsidRPr="001D4B36" w:rsidRDefault="006F7F68" w:rsidP="007A473A">
            <w:pPr>
              <w:kinsoku w:val="0"/>
              <w:overflowPunct w:val="0"/>
              <w:spacing w:before="7" w:after="160" w:line="259" w:lineRule="auto"/>
              <w:rPr>
                <w:rStyle w:val="eop"/>
                <w:rFonts w:ascii="Noto Sans" w:eastAsia="Calibri Light" w:hAnsi="Noto Sans" w:cs="Noto Sans"/>
                <w:color w:val="FFFFFF" w:themeColor="background1"/>
                <w:szCs w:val="18"/>
              </w:rPr>
            </w:pPr>
            <w:r w:rsidRPr="001D4B36">
              <w:rPr>
                <w:rStyle w:val="eop"/>
                <w:rFonts w:ascii="Noto Sans" w:eastAsia="Calibri Light" w:hAnsi="Noto Sans" w:cs="Noto Sans"/>
                <w:color w:val="FFFFFF" w:themeColor="background1"/>
                <w:szCs w:val="18"/>
              </w:rPr>
              <w:t>#</w:t>
            </w:r>
          </w:p>
        </w:tc>
        <w:tc>
          <w:tcPr>
            <w:tcW w:w="3262" w:type="dxa"/>
            <w:shd w:val="clear" w:color="auto" w:fill="993366"/>
          </w:tcPr>
          <w:p w14:paraId="71AAD94B" w14:textId="77777777" w:rsidR="006F7F68" w:rsidRPr="001D4B36" w:rsidRDefault="006F7F68" w:rsidP="007A473A">
            <w:pPr>
              <w:kinsoku w:val="0"/>
              <w:overflowPunct w:val="0"/>
              <w:spacing w:before="7" w:after="160" w:line="259" w:lineRule="auto"/>
              <w:rPr>
                <w:rStyle w:val="eop"/>
                <w:rFonts w:ascii="Noto Sans" w:eastAsia="Calibri Light" w:hAnsi="Noto Sans" w:cs="Noto Sans"/>
                <w:color w:val="FFFFFF" w:themeColor="background1"/>
                <w:szCs w:val="18"/>
              </w:rPr>
            </w:pPr>
            <w:r w:rsidRPr="001D4B36">
              <w:rPr>
                <w:rStyle w:val="eop"/>
                <w:rFonts w:ascii="Noto Sans" w:eastAsia="Calibri Light" w:hAnsi="Noto Sans" w:cs="Noto Sans"/>
                <w:color w:val="FFFFFF" w:themeColor="background1"/>
                <w:szCs w:val="18"/>
              </w:rPr>
              <w:t>Objetivo</w:t>
            </w:r>
          </w:p>
        </w:tc>
        <w:tc>
          <w:tcPr>
            <w:tcW w:w="4961" w:type="dxa"/>
            <w:shd w:val="clear" w:color="auto" w:fill="993366"/>
          </w:tcPr>
          <w:p w14:paraId="425F0855" w14:textId="77777777" w:rsidR="006F7F68" w:rsidRPr="001D4B36" w:rsidRDefault="006F7F68" w:rsidP="007A473A">
            <w:pPr>
              <w:kinsoku w:val="0"/>
              <w:overflowPunct w:val="0"/>
              <w:spacing w:before="7" w:after="160" w:line="259" w:lineRule="auto"/>
              <w:rPr>
                <w:rStyle w:val="eop"/>
                <w:rFonts w:ascii="Noto Sans" w:eastAsia="Calibri Light" w:hAnsi="Noto Sans" w:cs="Noto Sans"/>
                <w:color w:val="FFFFFF" w:themeColor="background1"/>
                <w:szCs w:val="18"/>
              </w:rPr>
            </w:pPr>
            <w:r w:rsidRPr="001D4B36">
              <w:rPr>
                <w:rStyle w:val="eop"/>
                <w:rFonts w:ascii="Noto Sans" w:eastAsia="Calibri Light" w:hAnsi="Noto Sans" w:cs="Noto Sans"/>
                <w:color w:val="FFFFFF" w:themeColor="background1"/>
                <w:szCs w:val="18"/>
              </w:rPr>
              <w:t>Acciones y resultados</w:t>
            </w:r>
          </w:p>
        </w:tc>
        <w:tc>
          <w:tcPr>
            <w:tcW w:w="3969" w:type="dxa"/>
            <w:shd w:val="clear" w:color="auto" w:fill="993366"/>
          </w:tcPr>
          <w:p w14:paraId="52CF88E8" w14:textId="77777777" w:rsidR="006F7F68" w:rsidRPr="001D4B36" w:rsidRDefault="006F7F68" w:rsidP="007A473A">
            <w:pPr>
              <w:kinsoku w:val="0"/>
              <w:overflowPunct w:val="0"/>
              <w:spacing w:before="7" w:after="160" w:line="259" w:lineRule="auto"/>
              <w:rPr>
                <w:rStyle w:val="eop"/>
                <w:rFonts w:ascii="Noto Sans" w:eastAsia="Calibri Light" w:hAnsi="Noto Sans" w:cs="Noto Sans"/>
                <w:color w:val="FFFFFF" w:themeColor="background1"/>
                <w:szCs w:val="18"/>
              </w:rPr>
            </w:pPr>
            <w:r w:rsidRPr="001D4B36">
              <w:rPr>
                <w:rStyle w:val="eop"/>
                <w:rFonts w:ascii="Noto Sans" w:eastAsia="Calibri Light" w:hAnsi="Noto Sans" w:cs="Noto Sans"/>
                <w:color w:val="FFFFFF" w:themeColor="background1"/>
                <w:szCs w:val="18"/>
              </w:rPr>
              <w:t>Anexos</w:t>
            </w:r>
          </w:p>
        </w:tc>
      </w:tr>
      <w:tr w:rsidR="006F7F68" w:rsidRPr="001D4B36" w14:paraId="34F64D6D" w14:textId="77777777" w:rsidTr="007A473A">
        <w:tc>
          <w:tcPr>
            <w:tcW w:w="419" w:type="dxa"/>
          </w:tcPr>
          <w:p w14:paraId="43FD2479" w14:textId="77777777" w:rsidR="006F7F68" w:rsidRPr="001D4B36" w:rsidRDefault="006F7F68" w:rsidP="007A473A">
            <w:pPr>
              <w:kinsoku w:val="0"/>
              <w:overflowPunct w:val="0"/>
              <w:rPr>
                <w:rStyle w:val="eop"/>
                <w:rFonts w:ascii="Noto Sans" w:eastAsia="Calibri Light" w:hAnsi="Noto Sans" w:cs="Noto Sans"/>
                <w:szCs w:val="18"/>
              </w:rPr>
            </w:pPr>
            <w:r w:rsidRPr="001D4B36">
              <w:rPr>
                <w:rStyle w:val="eop"/>
                <w:rFonts w:ascii="Noto Sans" w:eastAsia="Calibri Light" w:hAnsi="Noto Sans" w:cs="Noto Sans"/>
                <w:szCs w:val="18"/>
              </w:rPr>
              <w:t>1</w:t>
            </w:r>
          </w:p>
        </w:tc>
        <w:tc>
          <w:tcPr>
            <w:tcW w:w="3262" w:type="dxa"/>
          </w:tcPr>
          <w:p w14:paraId="616D10D8" w14:textId="77777777" w:rsidR="006F7F68" w:rsidRPr="001D4B36" w:rsidRDefault="006F7F68" w:rsidP="007A473A">
            <w:pPr>
              <w:kinsoku w:val="0"/>
              <w:overflowPunct w:val="0"/>
              <w:rPr>
                <w:rStyle w:val="eop"/>
                <w:rFonts w:ascii="Noto Sans" w:eastAsia="Calibri Light" w:hAnsi="Noto Sans" w:cs="Noto Sans"/>
                <w:szCs w:val="18"/>
              </w:rPr>
            </w:pPr>
            <w:r w:rsidRPr="001D4B36">
              <w:rPr>
                <w:rStyle w:val="eop"/>
                <w:rFonts w:ascii="Noto Sans" w:eastAsia="Calibri Light" w:hAnsi="Noto Sans" w:cs="Noto Sans"/>
                <w:szCs w:val="18"/>
              </w:rPr>
              <w:t xml:space="preserve">Contribuir, a través de las humanidades, las ciencias, las tecnologías y la innovación, a la construcción de una sociedad más libre, igualitaria, justa y próspera, fundada en el pensamiento racional, reflexivo, dialógico, crítico y creativo, así como en la pluralidad y equidad epistémicas;  </w:t>
            </w:r>
          </w:p>
        </w:tc>
        <w:tc>
          <w:tcPr>
            <w:tcW w:w="4961" w:type="dxa"/>
          </w:tcPr>
          <w:p w14:paraId="302C14F9" w14:textId="08E7E8F0" w:rsidR="006F7F68" w:rsidRPr="001D4B36" w:rsidRDefault="006F7F68" w:rsidP="007A473A">
            <w:pPr>
              <w:kinsoku w:val="0"/>
              <w:overflowPunct w:val="0"/>
              <w:spacing w:before="7" w:after="160" w:line="259" w:lineRule="auto"/>
              <w:rPr>
                <w:rStyle w:val="eop"/>
                <w:rFonts w:ascii="Noto Sans" w:eastAsia="Calibri Light" w:hAnsi="Noto Sans" w:cs="Noto Sans"/>
                <w:color w:val="FF0000"/>
                <w:szCs w:val="18"/>
                <w:highlight w:val="yellow"/>
              </w:rPr>
            </w:pPr>
            <w:r w:rsidRPr="00CD0019">
              <w:rPr>
                <w:rStyle w:val="eop"/>
                <w:rFonts w:ascii="Noto Sans" w:eastAsia="Calibri Light" w:hAnsi="Noto Sans" w:cs="Noto Sans"/>
                <w:szCs w:val="18"/>
              </w:rPr>
              <w:t>El trabajo del INECOL (en sus 49 años de vida institucional) se realiza con apego a los métodos científicos, bajo un comportamiento ético en todas sus acciones. Con transparencia honestidad y al servicio de la sociedad. Los estudios en ecología</w:t>
            </w:r>
            <w:r w:rsidR="004B0770">
              <w:rPr>
                <w:rStyle w:val="eop"/>
                <w:rFonts w:ascii="Noto Sans" w:eastAsia="Calibri Light" w:hAnsi="Noto Sans" w:cs="Noto Sans"/>
                <w:szCs w:val="18"/>
              </w:rPr>
              <w:t>,</w:t>
            </w:r>
            <w:r w:rsidR="004B0770">
              <w:rPr>
                <w:rStyle w:val="eop"/>
                <w:rFonts w:eastAsia="Calibri Light"/>
                <w:szCs w:val="18"/>
              </w:rPr>
              <w:t xml:space="preserve"> </w:t>
            </w:r>
            <w:r w:rsidR="004B0770" w:rsidRPr="004B0770">
              <w:rPr>
                <w:rStyle w:val="eop"/>
                <w:rFonts w:ascii="Noto Sans" w:eastAsia="Calibri Light" w:hAnsi="Noto Sans" w:cs="Noto Sans"/>
                <w:szCs w:val="18"/>
              </w:rPr>
              <w:t xml:space="preserve">tecnología y prestación de servicios </w:t>
            </w:r>
            <w:r w:rsidRPr="00CD0019">
              <w:rPr>
                <w:rStyle w:val="eop"/>
                <w:rFonts w:ascii="Noto Sans" w:eastAsia="Calibri Light" w:hAnsi="Noto Sans" w:cs="Noto Sans"/>
                <w:szCs w:val="18"/>
              </w:rPr>
              <w:t xml:space="preserve">se someten a la validación y comprobación de resultados. De igual manera, la formación de recursos humanos multiplica las habilidades científicas y exige conductas honorables en sus egresados. </w:t>
            </w:r>
          </w:p>
        </w:tc>
        <w:tc>
          <w:tcPr>
            <w:tcW w:w="3969" w:type="dxa"/>
            <w:vAlign w:val="center"/>
          </w:tcPr>
          <w:p w14:paraId="262D5A84" w14:textId="77777777" w:rsidR="006F7F68" w:rsidRPr="001D4B36" w:rsidRDefault="006F7F68" w:rsidP="007A473A">
            <w:pPr>
              <w:kinsoku w:val="0"/>
              <w:overflowPunct w:val="0"/>
              <w:spacing w:before="7" w:after="160" w:line="259" w:lineRule="auto"/>
              <w:jc w:val="center"/>
              <w:rPr>
                <w:rStyle w:val="eop"/>
                <w:rFonts w:ascii="Noto Sans" w:eastAsia="Calibri Light" w:hAnsi="Noto Sans" w:cs="Noto Sans"/>
                <w:szCs w:val="18"/>
              </w:rPr>
            </w:pPr>
            <w:r w:rsidRPr="001D4B36">
              <w:rPr>
                <w:rStyle w:val="eop"/>
                <w:rFonts w:ascii="Noto Sans" w:eastAsia="Calibri Light" w:hAnsi="Noto Sans" w:cs="Noto Sans"/>
                <w:szCs w:val="18"/>
              </w:rPr>
              <w:t>Ver anexos en la Carpeta</w:t>
            </w:r>
          </w:p>
        </w:tc>
      </w:tr>
      <w:tr w:rsidR="006F7F68" w:rsidRPr="001D4B36" w14:paraId="3FF664E4" w14:textId="77777777" w:rsidTr="007A473A">
        <w:tc>
          <w:tcPr>
            <w:tcW w:w="419" w:type="dxa"/>
          </w:tcPr>
          <w:p w14:paraId="68050F69"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2</w:t>
            </w:r>
          </w:p>
        </w:tc>
        <w:tc>
          <w:tcPr>
            <w:tcW w:w="3262" w:type="dxa"/>
          </w:tcPr>
          <w:p w14:paraId="252D0D8E"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Impulsar el avance del conocimiento universal, realizar investigación en ciencia básica y de frontera, además de contribuir a la formación especializada y de alto nivel de la comunidad en las áreas y campos de competencia que se refieran en su objeto;</w:t>
            </w:r>
          </w:p>
        </w:tc>
        <w:tc>
          <w:tcPr>
            <w:tcW w:w="4961" w:type="dxa"/>
          </w:tcPr>
          <w:p w14:paraId="4C6DD554" w14:textId="0797C6E8" w:rsidR="006F7F68" w:rsidRPr="001D4B36" w:rsidRDefault="006F7F68" w:rsidP="007A473A">
            <w:pPr>
              <w:kinsoku w:val="0"/>
              <w:overflowPunct w:val="0"/>
              <w:autoSpaceDE w:val="0"/>
              <w:autoSpaceDN w:val="0"/>
              <w:adjustRightInd w:val="0"/>
              <w:spacing w:line="200" w:lineRule="atLeast"/>
              <w:rPr>
                <w:rFonts w:ascii="Noto Sans" w:hAnsi="Noto Sans" w:cs="Noto Sans"/>
                <w:color w:val="FF0000"/>
                <w:szCs w:val="18"/>
                <w:highlight w:val="yellow"/>
              </w:rPr>
            </w:pPr>
            <w:r w:rsidRPr="00CD0019">
              <w:rPr>
                <w:rFonts w:ascii="Noto Sans" w:hAnsi="Noto Sans" w:cs="Noto Sans"/>
                <w:szCs w:val="18"/>
              </w:rPr>
              <w:t xml:space="preserve">Los </w:t>
            </w:r>
            <w:r w:rsidR="00BD531E">
              <w:rPr>
                <w:rFonts w:ascii="Noto Sans" w:hAnsi="Noto Sans" w:cs="Noto Sans"/>
                <w:szCs w:val="18"/>
              </w:rPr>
              <w:t>390</w:t>
            </w:r>
            <w:r w:rsidRPr="00A70DFB">
              <w:rPr>
                <w:rFonts w:ascii="Noto Sans" w:hAnsi="Noto Sans" w:cs="Noto Sans"/>
                <w:szCs w:val="18"/>
              </w:rPr>
              <w:t xml:space="preserve"> </w:t>
            </w:r>
            <w:r w:rsidRPr="00CD0019">
              <w:rPr>
                <w:rFonts w:ascii="Noto Sans" w:hAnsi="Noto Sans" w:cs="Noto Sans"/>
                <w:szCs w:val="18"/>
              </w:rPr>
              <w:t xml:space="preserve">documentos arbitrados en el </w:t>
            </w:r>
            <w:r w:rsidR="00CD0019">
              <w:rPr>
                <w:rFonts w:ascii="Noto Sans" w:hAnsi="Noto Sans" w:cs="Noto Sans"/>
                <w:szCs w:val="18"/>
              </w:rPr>
              <w:t>año</w:t>
            </w:r>
            <w:r w:rsidRPr="00CD0019">
              <w:rPr>
                <w:rFonts w:ascii="Noto Sans" w:hAnsi="Noto Sans" w:cs="Noto Sans"/>
                <w:szCs w:val="18"/>
              </w:rPr>
              <w:t xml:space="preserve"> 2024 son el resultado de generación de conocimiento de líneas de investigación de mediano y largo plazo, el trabajo en investigación y docencia se realiza con intervenciones sociales en favor del ambiente.</w:t>
            </w:r>
          </w:p>
        </w:tc>
        <w:tc>
          <w:tcPr>
            <w:tcW w:w="3969" w:type="dxa"/>
            <w:vAlign w:val="center"/>
          </w:tcPr>
          <w:p w14:paraId="2C9DE211"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t>Ver anexos en la Carpeta</w:t>
            </w:r>
          </w:p>
        </w:tc>
      </w:tr>
      <w:tr w:rsidR="006F7F68" w:rsidRPr="001D4B36" w14:paraId="40B0CC94" w14:textId="77777777" w:rsidTr="004B0770">
        <w:tc>
          <w:tcPr>
            <w:tcW w:w="419" w:type="dxa"/>
          </w:tcPr>
          <w:p w14:paraId="6A8959F0"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3</w:t>
            </w:r>
          </w:p>
        </w:tc>
        <w:tc>
          <w:tcPr>
            <w:tcW w:w="3262" w:type="dxa"/>
          </w:tcPr>
          <w:p w14:paraId="324C4798"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Establecer programas nacionales de posgrado, impartidos de manera conjunta y articulada por dos o más instituciones parte del Sistema;</w:t>
            </w:r>
          </w:p>
        </w:tc>
        <w:tc>
          <w:tcPr>
            <w:tcW w:w="4961" w:type="dxa"/>
            <w:shd w:val="clear" w:color="auto" w:fill="auto"/>
          </w:tcPr>
          <w:p w14:paraId="33637247" w14:textId="443277EC" w:rsidR="006F7F68" w:rsidRPr="004B0770" w:rsidRDefault="006F7F68" w:rsidP="007A473A">
            <w:pPr>
              <w:kinsoku w:val="0"/>
              <w:overflowPunct w:val="0"/>
              <w:autoSpaceDE w:val="0"/>
              <w:autoSpaceDN w:val="0"/>
              <w:adjustRightInd w:val="0"/>
              <w:spacing w:line="200" w:lineRule="atLeast"/>
              <w:rPr>
                <w:rFonts w:ascii="Noto Sans" w:hAnsi="Noto Sans" w:cs="Noto Sans"/>
                <w:szCs w:val="18"/>
                <w:highlight w:val="yellow"/>
              </w:rPr>
            </w:pPr>
            <w:r w:rsidRPr="004B0770">
              <w:rPr>
                <w:rFonts w:ascii="Noto Sans" w:hAnsi="Noto Sans" w:cs="Noto Sans"/>
                <w:szCs w:val="18"/>
              </w:rPr>
              <w:t>El INECOL mantiene sus dos programas</w:t>
            </w:r>
            <w:r w:rsidR="00CD0019" w:rsidRPr="004B0770">
              <w:rPr>
                <w:rFonts w:ascii="Noto Sans" w:hAnsi="Noto Sans" w:cs="Noto Sans"/>
                <w:szCs w:val="18"/>
              </w:rPr>
              <w:t>:</w:t>
            </w:r>
            <w:r w:rsidRPr="004B0770">
              <w:rPr>
                <w:rFonts w:ascii="Noto Sans" w:hAnsi="Noto Sans" w:cs="Noto Sans"/>
                <w:szCs w:val="18"/>
              </w:rPr>
              <w:t xml:space="preserve"> maestría</w:t>
            </w:r>
            <w:r w:rsidR="00CD0019" w:rsidRPr="004B0770">
              <w:rPr>
                <w:rFonts w:ascii="Noto Sans" w:hAnsi="Noto Sans" w:cs="Noto Sans"/>
                <w:szCs w:val="18"/>
              </w:rPr>
              <w:t xml:space="preserve"> (</w:t>
            </w:r>
            <w:r w:rsidR="004B0770" w:rsidRPr="004B0770">
              <w:rPr>
                <w:rFonts w:ascii="Noto Sans" w:hAnsi="Noto Sans" w:cs="Noto Sans"/>
                <w:szCs w:val="18"/>
              </w:rPr>
              <w:t>c</w:t>
            </w:r>
            <w:r w:rsidR="004B0770" w:rsidRPr="004B0770">
              <w:t xml:space="preserve">on </w:t>
            </w:r>
            <w:r w:rsidR="00CD0019" w:rsidRPr="004B0770">
              <w:rPr>
                <w:rFonts w:ascii="Noto Sans" w:hAnsi="Noto Sans" w:cs="Noto Sans"/>
                <w:szCs w:val="18"/>
              </w:rPr>
              <w:t>21</w:t>
            </w:r>
            <w:r w:rsidR="004B0770" w:rsidRPr="004B0770">
              <w:rPr>
                <w:rFonts w:ascii="Noto Sans" w:hAnsi="Noto Sans" w:cs="Noto Sans"/>
                <w:szCs w:val="18"/>
              </w:rPr>
              <w:t xml:space="preserve"> </w:t>
            </w:r>
            <w:r w:rsidR="004B0770" w:rsidRPr="004B0770">
              <w:t>egresados</w:t>
            </w:r>
            <w:r w:rsidR="00CD0019" w:rsidRPr="004B0770">
              <w:rPr>
                <w:rFonts w:ascii="Noto Sans" w:hAnsi="Noto Sans" w:cs="Noto Sans"/>
                <w:szCs w:val="18"/>
              </w:rPr>
              <w:t>)</w:t>
            </w:r>
            <w:r w:rsidRPr="004B0770">
              <w:rPr>
                <w:rFonts w:ascii="Noto Sans" w:hAnsi="Noto Sans" w:cs="Noto Sans"/>
                <w:szCs w:val="18"/>
              </w:rPr>
              <w:t xml:space="preserve"> y doctorado </w:t>
            </w:r>
            <w:r w:rsidR="004B0770" w:rsidRPr="004B0770">
              <w:rPr>
                <w:rFonts w:ascii="Noto Sans" w:hAnsi="Noto Sans" w:cs="Noto Sans"/>
                <w:szCs w:val="18"/>
              </w:rPr>
              <w:t xml:space="preserve">(17 egresados) </w:t>
            </w:r>
            <w:r w:rsidRPr="004B0770">
              <w:rPr>
                <w:rFonts w:ascii="Noto Sans" w:hAnsi="Noto Sans" w:cs="Noto Sans"/>
                <w:szCs w:val="18"/>
              </w:rPr>
              <w:t xml:space="preserve">de calidad con una oferta académica plural. Actualmente impulsa diplomados, la especialidad en Bienestar comunitario </w:t>
            </w:r>
            <w:r w:rsidR="004B0770" w:rsidRPr="004B0770">
              <w:rPr>
                <w:rFonts w:ascii="Noto Sans" w:hAnsi="Noto Sans" w:cs="Noto Sans"/>
                <w:szCs w:val="18"/>
              </w:rPr>
              <w:t xml:space="preserve">(7 alumnos) </w:t>
            </w:r>
            <w:r w:rsidRPr="004B0770">
              <w:rPr>
                <w:rFonts w:ascii="Noto Sans" w:hAnsi="Noto Sans" w:cs="Noto Sans"/>
                <w:szCs w:val="18"/>
              </w:rPr>
              <w:t xml:space="preserve">y el Doctorado Nacional en Agroecología </w:t>
            </w:r>
            <w:r w:rsidR="004B0770" w:rsidRPr="004B0770">
              <w:rPr>
                <w:rFonts w:ascii="Noto Sans" w:hAnsi="Noto Sans" w:cs="Noto Sans"/>
                <w:szCs w:val="18"/>
              </w:rPr>
              <w:t xml:space="preserve">(49 alumnos) </w:t>
            </w:r>
            <w:r w:rsidRPr="004B0770">
              <w:rPr>
                <w:rFonts w:ascii="Noto Sans" w:hAnsi="Noto Sans" w:cs="Noto Sans"/>
                <w:szCs w:val="18"/>
              </w:rPr>
              <w:t>todos ellos en colaboración interinstitucional.</w:t>
            </w:r>
          </w:p>
        </w:tc>
        <w:tc>
          <w:tcPr>
            <w:tcW w:w="3969" w:type="dxa"/>
            <w:vAlign w:val="center"/>
          </w:tcPr>
          <w:p w14:paraId="0923E264"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t>Ver anexos en la Carpeta</w:t>
            </w:r>
          </w:p>
        </w:tc>
      </w:tr>
      <w:tr w:rsidR="006F7F68" w:rsidRPr="001D4B36" w14:paraId="0405BC42" w14:textId="77777777" w:rsidTr="007A473A">
        <w:tc>
          <w:tcPr>
            <w:tcW w:w="419" w:type="dxa"/>
          </w:tcPr>
          <w:p w14:paraId="59A510B9"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lastRenderedPageBreak/>
              <w:t>4</w:t>
            </w:r>
          </w:p>
        </w:tc>
        <w:tc>
          <w:tcPr>
            <w:tcW w:w="3262" w:type="dxa"/>
          </w:tcPr>
          <w:p w14:paraId="2C7F6392"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Realizar investigaciones orientadas a diagnosticar, prospectar y proponer a las autoridades competentes, así como a la sociedad en general, acciones y medidas para la prevención, atención y solución de problemáticas nacionales relacionadas con la Agenda Nacional;</w:t>
            </w:r>
          </w:p>
        </w:tc>
        <w:tc>
          <w:tcPr>
            <w:tcW w:w="4961" w:type="dxa"/>
          </w:tcPr>
          <w:p w14:paraId="2E1BB421"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color w:val="FF0000"/>
                <w:szCs w:val="18"/>
                <w:highlight w:val="yellow"/>
              </w:rPr>
            </w:pPr>
            <w:r w:rsidRPr="004B0770">
              <w:rPr>
                <w:rFonts w:ascii="Noto Sans" w:hAnsi="Noto Sans" w:cs="Noto Sans"/>
                <w:szCs w:val="18"/>
              </w:rPr>
              <w:t xml:space="preserve">El INECOL participa en múltiples proyectos de estudio de la biodiversidad, la conservación de sistemas naturales, la restauración de hábitats y sistemas biológicos en riesgo, su trabajo se complementa con el diseño de tecnologías para la gestión del agua, la conservación de la fertilidad del suelo, la calidad del aire y la comprensión de los cambios globales, todo ello en benéfico de la población mexicana y en múltiples casos en colaboración internacional.   </w:t>
            </w:r>
          </w:p>
        </w:tc>
        <w:tc>
          <w:tcPr>
            <w:tcW w:w="3969" w:type="dxa"/>
            <w:vAlign w:val="center"/>
          </w:tcPr>
          <w:p w14:paraId="77DA1287"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t>Ver anexos en la Carpeta</w:t>
            </w:r>
          </w:p>
        </w:tc>
      </w:tr>
      <w:tr w:rsidR="006F7F68" w:rsidRPr="001D4B36" w14:paraId="56A10293" w14:textId="77777777" w:rsidTr="007A473A">
        <w:tc>
          <w:tcPr>
            <w:tcW w:w="419" w:type="dxa"/>
          </w:tcPr>
          <w:p w14:paraId="6B13E326"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5</w:t>
            </w:r>
          </w:p>
        </w:tc>
        <w:tc>
          <w:tcPr>
            <w:tcW w:w="3262" w:type="dxa"/>
          </w:tcPr>
          <w:p w14:paraId="74FE2B54"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Aportar elementos e insumos para la construcción e implementación de políticas públicas orientadas al mejoramiento de las condiciones de vida en las regiones, zonas metropolitanas y territorios en que se ubiquen las sedes y subsedes de los Centros Públicos;</w:t>
            </w:r>
          </w:p>
        </w:tc>
        <w:tc>
          <w:tcPr>
            <w:tcW w:w="4961" w:type="dxa"/>
          </w:tcPr>
          <w:p w14:paraId="55D11F8A" w14:textId="7BECE2F5" w:rsidR="006F7F68" w:rsidRPr="004B0770" w:rsidRDefault="006F7F68" w:rsidP="007A473A">
            <w:pPr>
              <w:kinsoku w:val="0"/>
              <w:overflowPunct w:val="0"/>
              <w:autoSpaceDE w:val="0"/>
              <w:autoSpaceDN w:val="0"/>
              <w:adjustRightInd w:val="0"/>
              <w:spacing w:line="200" w:lineRule="atLeast"/>
              <w:rPr>
                <w:rFonts w:ascii="Noto Sans" w:hAnsi="Noto Sans" w:cs="Noto Sans"/>
                <w:szCs w:val="18"/>
                <w:highlight w:val="yellow"/>
              </w:rPr>
            </w:pPr>
            <w:r w:rsidRPr="004B0770">
              <w:rPr>
                <w:rFonts w:ascii="Noto Sans" w:hAnsi="Noto Sans" w:cs="Noto Sans"/>
                <w:szCs w:val="18"/>
              </w:rPr>
              <w:t>El INECOL es referente institucional en la definición de políticas públicas en ecología. El estudio de la biodiversidad supone abordajes temporales y espaciales, que van más allá del presente y de las fronteras del país. Los estudios evolutivos permitir explicar la diversidad histórica, la presencia de especies y su movilidad: la presente y la construcción de modelos predictivos. Nuestras sedes están coordinadas y sus acciones contemplan el territorio nacional</w:t>
            </w:r>
            <w:r w:rsidR="004B0770" w:rsidRPr="004B0770">
              <w:rPr>
                <w:rFonts w:ascii="Noto Sans" w:hAnsi="Noto Sans" w:cs="Noto Sans"/>
                <w:szCs w:val="18"/>
              </w:rPr>
              <w:t xml:space="preserve"> y estudios globales</w:t>
            </w:r>
            <w:r w:rsidRPr="004B0770">
              <w:rPr>
                <w:rFonts w:ascii="Noto Sans" w:hAnsi="Noto Sans" w:cs="Noto Sans"/>
                <w:szCs w:val="18"/>
              </w:rPr>
              <w:t>.</w:t>
            </w:r>
          </w:p>
        </w:tc>
        <w:tc>
          <w:tcPr>
            <w:tcW w:w="3969" w:type="dxa"/>
            <w:vAlign w:val="center"/>
          </w:tcPr>
          <w:p w14:paraId="52B3CBDF"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t>Ver anexos en la Carpeta</w:t>
            </w:r>
          </w:p>
        </w:tc>
      </w:tr>
      <w:tr w:rsidR="006F7F68" w:rsidRPr="001D4B36" w14:paraId="78A22C90" w14:textId="77777777" w:rsidTr="007A473A">
        <w:tc>
          <w:tcPr>
            <w:tcW w:w="419" w:type="dxa"/>
          </w:tcPr>
          <w:p w14:paraId="79ECB610"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6</w:t>
            </w:r>
          </w:p>
        </w:tc>
        <w:tc>
          <w:tcPr>
            <w:tcW w:w="3262" w:type="dxa"/>
          </w:tcPr>
          <w:p w14:paraId="09117CE6"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Impulsar el desarrollo de tecnologías estratégicas de vanguardia, así como la consolidación de un ecosistema nacional de innovación abierta, como motores de la transformación social del país;</w:t>
            </w:r>
          </w:p>
        </w:tc>
        <w:tc>
          <w:tcPr>
            <w:tcW w:w="4961" w:type="dxa"/>
          </w:tcPr>
          <w:p w14:paraId="7EF14B68" w14:textId="4D4E13E9" w:rsidR="006F7F68" w:rsidRPr="001D4B36" w:rsidRDefault="006F7F68" w:rsidP="007A473A">
            <w:pPr>
              <w:kinsoku w:val="0"/>
              <w:overflowPunct w:val="0"/>
              <w:autoSpaceDE w:val="0"/>
              <w:autoSpaceDN w:val="0"/>
              <w:adjustRightInd w:val="0"/>
              <w:spacing w:line="200" w:lineRule="atLeast"/>
              <w:rPr>
                <w:rFonts w:ascii="Noto Sans" w:hAnsi="Noto Sans" w:cs="Noto Sans"/>
                <w:color w:val="FF0000"/>
                <w:szCs w:val="18"/>
                <w:highlight w:val="yellow"/>
              </w:rPr>
            </w:pPr>
            <w:r w:rsidRPr="004B0770">
              <w:rPr>
                <w:rFonts w:ascii="Noto Sans" w:hAnsi="Noto Sans" w:cs="Noto Sans"/>
                <w:szCs w:val="18"/>
              </w:rPr>
              <w:t>Impulsar el desarrollo de tecnologías estratégicas de vanguardia</w:t>
            </w:r>
            <w:r w:rsidR="004B0770" w:rsidRPr="004B0770">
              <w:rPr>
                <w:rFonts w:ascii="Noto Sans" w:hAnsi="Noto Sans" w:cs="Noto Sans"/>
                <w:szCs w:val="18"/>
              </w:rPr>
              <w:t xml:space="preserve"> con incidencia social</w:t>
            </w:r>
            <w:r w:rsidRPr="004B0770">
              <w:rPr>
                <w:rFonts w:ascii="Noto Sans" w:hAnsi="Noto Sans" w:cs="Noto Sans"/>
                <w:szCs w:val="18"/>
              </w:rPr>
              <w:t>, así como la consolidación de un ecosistema nacional de innovación abierta</w:t>
            </w:r>
            <w:r w:rsidR="004B0770" w:rsidRPr="004B0770">
              <w:rPr>
                <w:rFonts w:ascii="Noto Sans" w:hAnsi="Noto Sans" w:cs="Noto Sans"/>
                <w:szCs w:val="18"/>
              </w:rPr>
              <w:t>; es decir, de acceso abierto</w:t>
            </w:r>
            <w:r w:rsidRPr="004B0770">
              <w:rPr>
                <w:rFonts w:ascii="Noto Sans" w:hAnsi="Noto Sans" w:cs="Noto Sans"/>
                <w:szCs w:val="18"/>
              </w:rPr>
              <w:t>, como motores de la transformación social del país</w:t>
            </w:r>
            <w:r w:rsidR="004B0770" w:rsidRPr="004B0770">
              <w:rPr>
                <w:rFonts w:ascii="Noto Sans" w:hAnsi="Noto Sans" w:cs="Noto Sans"/>
                <w:szCs w:val="18"/>
              </w:rPr>
              <w:t>.</w:t>
            </w:r>
          </w:p>
        </w:tc>
        <w:tc>
          <w:tcPr>
            <w:tcW w:w="3969" w:type="dxa"/>
            <w:vAlign w:val="center"/>
          </w:tcPr>
          <w:p w14:paraId="09E6DC68"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t>Ver anexos en la Carpeta</w:t>
            </w:r>
          </w:p>
        </w:tc>
      </w:tr>
      <w:tr w:rsidR="006F7F68" w:rsidRPr="001D4B36" w14:paraId="5979D694" w14:textId="77777777" w:rsidTr="007A473A">
        <w:tc>
          <w:tcPr>
            <w:tcW w:w="419" w:type="dxa"/>
          </w:tcPr>
          <w:p w14:paraId="009485A8"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7</w:t>
            </w:r>
          </w:p>
        </w:tc>
        <w:tc>
          <w:tcPr>
            <w:tcW w:w="3262" w:type="dxa"/>
          </w:tcPr>
          <w:p w14:paraId="5CD81C87"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 xml:space="preserve">Contribuir a que el conocimiento científico y sus aplicaciones </w:t>
            </w:r>
            <w:r w:rsidRPr="001D4B36">
              <w:rPr>
                <w:rFonts w:ascii="Noto Sans" w:hAnsi="Noto Sans" w:cs="Noto Sans"/>
                <w:szCs w:val="18"/>
              </w:rPr>
              <w:lastRenderedPageBreak/>
              <w:t>tecnológicas sean de acceso público y se incorporen a los procesos productivos e industriales, el comercio, la prestación de servicios y el consumo popular, para el bienestar de la sociedad mexicana, con responsabilidad ética, social y ambiental;</w:t>
            </w:r>
          </w:p>
        </w:tc>
        <w:tc>
          <w:tcPr>
            <w:tcW w:w="4961" w:type="dxa"/>
          </w:tcPr>
          <w:p w14:paraId="69CB3E1C" w14:textId="454856BE" w:rsidR="006F7F68" w:rsidRPr="001D4B36" w:rsidRDefault="004B0770" w:rsidP="007A473A">
            <w:pPr>
              <w:kinsoku w:val="0"/>
              <w:overflowPunct w:val="0"/>
              <w:autoSpaceDE w:val="0"/>
              <w:autoSpaceDN w:val="0"/>
              <w:adjustRightInd w:val="0"/>
              <w:spacing w:line="200" w:lineRule="atLeast"/>
              <w:rPr>
                <w:rFonts w:ascii="Noto Sans" w:hAnsi="Noto Sans" w:cs="Noto Sans"/>
                <w:color w:val="FF0000"/>
                <w:szCs w:val="18"/>
                <w:highlight w:val="yellow"/>
              </w:rPr>
            </w:pPr>
            <w:r w:rsidRPr="004B0770">
              <w:rPr>
                <w:rFonts w:ascii="Noto Sans" w:hAnsi="Noto Sans" w:cs="Noto Sans"/>
                <w:szCs w:val="18"/>
              </w:rPr>
              <w:lastRenderedPageBreak/>
              <w:t>El trabajo del INECOL c</w:t>
            </w:r>
            <w:r w:rsidR="006F7F68" w:rsidRPr="004B0770">
              <w:rPr>
                <w:rFonts w:ascii="Noto Sans" w:hAnsi="Noto Sans" w:cs="Noto Sans"/>
                <w:szCs w:val="18"/>
              </w:rPr>
              <w:t>ontribu</w:t>
            </w:r>
            <w:r w:rsidRPr="004B0770">
              <w:rPr>
                <w:rFonts w:ascii="Noto Sans" w:hAnsi="Noto Sans" w:cs="Noto Sans"/>
                <w:szCs w:val="18"/>
              </w:rPr>
              <w:t>ye</w:t>
            </w:r>
            <w:r w:rsidR="006F7F68" w:rsidRPr="004B0770">
              <w:rPr>
                <w:rFonts w:ascii="Noto Sans" w:hAnsi="Noto Sans" w:cs="Noto Sans"/>
                <w:szCs w:val="18"/>
              </w:rPr>
              <w:t xml:space="preserve"> a que el conocimiento científico y sus aplicaciones tecnológicas sean de acceso </w:t>
            </w:r>
            <w:r w:rsidR="006F7F68" w:rsidRPr="004B0770">
              <w:rPr>
                <w:rFonts w:ascii="Noto Sans" w:hAnsi="Noto Sans" w:cs="Noto Sans"/>
                <w:szCs w:val="18"/>
              </w:rPr>
              <w:lastRenderedPageBreak/>
              <w:t>público y se incorporen a los procesos productivos e industriales, el comercio, la prestación de servicios y el consumo popular, para el bienestar de la sociedad mexicana, con responsabilidad ética, social y ambiental</w:t>
            </w:r>
            <w:r w:rsidRPr="004B0770">
              <w:rPr>
                <w:rFonts w:ascii="Noto Sans" w:hAnsi="Noto Sans" w:cs="Noto Sans"/>
                <w:szCs w:val="18"/>
              </w:rPr>
              <w:t>.</w:t>
            </w:r>
          </w:p>
        </w:tc>
        <w:tc>
          <w:tcPr>
            <w:tcW w:w="3969" w:type="dxa"/>
            <w:vAlign w:val="center"/>
          </w:tcPr>
          <w:p w14:paraId="351AA006"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lastRenderedPageBreak/>
              <w:t>Ver anexos en la Carpeta</w:t>
            </w:r>
          </w:p>
        </w:tc>
      </w:tr>
      <w:tr w:rsidR="006F7F68" w:rsidRPr="001D4B36" w14:paraId="19C5176D" w14:textId="77777777" w:rsidTr="007A473A">
        <w:tc>
          <w:tcPr>
            <w:tcW w:w="419" w:type="dxa"/>
          </w:tcPr>
          <w:p w14:paraId="3229C1C9"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8</w:t>
            </w:r>
          </w:p>
        </w:tc>
        <w:tc>
          <w:tcPr>
            <w:tcW w:w="3262" w:type="dxa"/>
          </w:tcPr>
          <w:p w14:paraId="06FC0394"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Promover la aplicación novedosa de las ciencias y las tecnologías en el mejoramiento o generación de nuevos productos, servicios, procesos productivos o sistemas de gestión, con responsabilidad ética, social y ambiental;</w:t>
            </w:r>
          </w:p>
        </w:tc>
        <w:tc>
          <w:tcPr>
            <w:tcW w:w="4961" w:type="dxa"/>
          </w:tcPr>
          <w:p w14:paraId="0D220A27" w14:textId="6CA95DA3" w:rsidR="006F7F68" w:rsidRPr="001D4B36" w:rsidRDefault="006F7F68" w:rsidP="007A473A">
            <w:pPr>
              <w:kinsoku w:val="0"/>
              <w:overflowPunct w:val="0"/>
              <w:autoSpaceDE w:val="0"/>
              <w:autoSpaceDN w:val="0"/>
              <w:adjustRightInd w:val="0"/>
              <w:spacing w:line="200" w:lineRule="atLeast"/>
              <w:rPr>
                <w:rFonts w:ascii="Noto Sans" w:hAnsi="Noto Sans" w:cs="Noto Sans"/>
                <w:color w:val="FF0000"/>
                <w:szCs w:val="18"/>
                <w:highlight w:val="yellow"/>
              </w:rPr>
            </w:pPr>
            <w:r w:rsidRPr="004B0770">
              <w:rPr>
                <w:rFonts w:ascii="Noto Sans" w:hAnsi="Noto Sans" w:cs="Noto Sans"/>
                <w:szCs w:val="18"/>
              </w:rPr>
              <w:t xml:space="preserve">La comunidad INECOL se integra con </w:t>
            </w:r>
            <w:r w:rsidR="004B0770" w:rsidRPr="004B0770">
              <w:rPr>
                <w:rFonts w:ascii="Noto Sans" w:hAnsi="Noto Sans" w:cs="Noto Sans"/>
                <w:szCs w:val="18"/>
              </w:rPr>
              <w:t xml:space="preserve">13 </w:t>
            </w:r>
            <w:r w:rsidRPr="004B0770">
              <w:rPr>
                <w:rFonts w:ascii="Noto Sans" w:hAnsi="Noto Sans" w:cs="Noto Sans"/>
                <w:szCs w:val="18"/>
              </w:rPr>
              <w:t xml:space="preserve">equipos de trabajo a través de los 49 años de vida institucional </w:t>
            </w:r>
            <w:r w:rsidR="004B0770" w:rsidRPr="004B0770">
              <w:rPr>
                <w:rFonts w:ascii="Noto Sans" w:hAnsi="Noto Sans" w:cs="Noto Sans"/>
                <w:szCs w:val="18"/>
              </w:rPr>
              <w:t>y ha</w:t>
            </w:r>
            <w:r w:rsidRPr="004B0770">
              <w:rPr>
                <w:rFonts w:ascii="Noto Sans" w:hAnsi="Noto Sans" w:cs="Noto Sans"/>
                <w:szCs w:val="18"/>
              </w:rPr>
              <w:t xml:space="preserve"> construido una filosofía de servicio y profesionalismo. Por ello, sus resultados son valorados por la comunidad académica nacional e internacional y de forma permanente a sus integrantes distinguidos.  </w:t>
            </w:r>
          </w:p>
        </w:tc>
        <w:tc>
          <w:tcPr>
            <w:tcW w:w="3969" w:type="dxa"/>
            <w:vAlign w:val="center"/>
          </w:tcPr>
          <w:p w14:paraId="6DEC3549"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t>Ver anexos en la Carpeta</w:t>
            </w:r>
          </w:p>
        </w:tc>
      </w:tr>
      <w:tr w:rsidR="006F7F68" w:rsidRPr="001D4B36" w14:paraId="09F71D1E" w14:textId="77777777" w:rsidTr="007A473A">
        <w:tc>
          <w:tcPr>
            <w:tcW w:w="419" w:type="dxa"/>
          </w:tcPr>
          <w:p w14:paraId="39206546"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9</w:t>
            </w:r>
          </w:p>
        </w:tc>
        <w:tc>
          <w:tcPr>
            <w:tcW w:w="3262" w:type="dxa"/>
          </w:tcPr>
          <w:p w14:paraId="2AD9FC82"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Facilitar la planeación estratégica y participativa en el sector de humanidades, ciencias, tecnologías e innovación, así como promover una política integral de acceso universal al conocimiento humanístico y científico y a sus beneficios sociales;</w:t>
            </w:r>
          </w:p>
        </w:tc>
        <w:tc>
          <w:tcPr>
            <w:tcW w:w="4961" w:type="dxa"/>
          </w:tcPr>
          <w:p w14:paraId="07B8C50C"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color w:val="FF0000"/>
                <w:szCs w:val="18"/>
                <w:highlight w:val="yellow"/>
              </w:rPr>
            </w:pPr>
            <w:r w:rsidRPr="004B0770">
              <w:rPr>
                <w:rFonts w:ascii="Noto Sans" w:hAnsi="Noto Sans" w:cs="Noto Sans"/>
                <w:szCs w:val="18"/>
              </w:rPr>
              <w:t>Los estudios de la naturaleza junto con los actores sociales que los gestionan exigen marcos de trabajo y planeación finamente organizados. Los métodos en la ciencia requieren de trabajo constante y la dinámica social siempre cambiante exige respuestas acertadas para minimizar la incertidumbre. Ello se constata en nuestras colecciones científicas, en el cuidado de las áreas naturales y con el acompañamiento a productores del campo.</w:t>
            </w:r>
          </w:p>
        </w:tc>
        <w:tc>
          <w:tcPr>
            <w:tcW w:w="3969" w:type="dxa"/>
            <w:vAlign w:val="center"/>
          </w:tcPr>
          <w:p w14:paraId="566C0B37"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t>Ver anexos en la Carpeta</w:t>
            </w:r>
          </w:p>
        </w:tc>
      </w:tr>
      <w:tr w:rsidR="006F7F68" w:rsidRPr="001D4B36" w14:paraId="22284190" w14:textId="77777777" w:rsidTr="007A473A">
        <w:tc>
          <w:tcPr>
            <w:tcW w:w="419" w:type="dxa"/>
          </w:tcPr>
          <w:p w14:paraId="6824BD18"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10</w:t>
            </w:r>
          </w:p>
        </w:tc>
        <w:tc>
          <w:tcPr>
            <w:tcW w:w="3262" w:type="dxa"/>
          </w:tcPr>
          <w:p w14:paraId="64774092"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 xml:space="preserve">Promover la participación democrática, informada y efectiva de la comunidad en los procesos de toma de decisión y evaluación en materia de humanidades, ciencias, </w:t>
            </w:r>
            <w:r w:rsidRPr="001D4B36">
              <w:rPr>
                <w:rFonts w:ascii="Noto Sans" w:hAnsi="Noto Sans" w:cs="Noto Sans"/>
                <w:szCs w:val="18"/>
              </w:rPr>
              <w:lastRenderedPageBreak/>
              <w:t>tecnologías e innovación desde los Centros Públicos en el Sistema Nacional;</w:t>
            </w:r>
          </w:p>
        </w:tc>
        <w:tc>
          <w:tcPr>
            <w:tcW w:w="4961" w:type="dxa"/>
          </w:tcPr>
          <w:p w14:paraId="4DF50EBC" w14:textId="34F11B60" w:rsidR="006F7F68" w:rsidRPr="001D4B36" w:rsidRDefault="006F7F68" w:rsidP="007A473A">
            <w:pPr>
              <w:kinsoku w:val="0"/>
              <w:overflowPunct w:val="0"/>
              <w:autoSpaceDE w:val="0"/>
              <w:autoSpaceDN w:val="0"/>
              <w:adjustRightInd w:val="0"/>
              <w:spacing w:line="200" w:lineRule="atLeast"/>
              <w:rPr>
                <w:rFonts w:ascii="Noto Sans" w:hAnsi="Noto Sans" w:cs="Noto Sans"/>
                <w:color w:val="FF0000"/>
                <w:szCs w:val="18"/>
                <w:highlight w:val="yellow"/>
              </w:rPr>
            </w:pPr>
            <w:r w:rsidRPr="00CF1AFE">
              <w:rPr>
                <w:rFonts w:ascii="Noto Sans" w:hAnsi="Noto Sans" w:cs="Noto Sans"/>
                <w:szCs w:val="18"/>
              </w:rPr>
              <w:lastRenderedPageBreak/>
              <w:t xml:space="preserve">El INECOL tiene diferentes órganos colegiados </w:t>
            </w:r>
            <w:r w:rsidR="00CF1AFE" w:rsidRPr="00CF1AFE">
              <w:rPr>
                <w:rFonts w:ascii="Noto Sans" w:hAnsi="Noto Sans" w:cs="Noto Sans"/>
                <w:szCs w:val="18"/>
              </w:rPr>
              <w:t>(Equipo Directivo, Comi</w:t>
            </w:r>
            <w:r w:rsidR="00CF1AFE">
              <w:rPr>
                <w:rFonts w:ascii="Noto Sans" w:hAnsi="Noto Sans" w:cs="Noto Sans"/>
                <w:szCs w:val="18"/>
              </w:rPr>
              <w:t>sión</w:t>
            </w:r>
            <w:r w:rsidR="00CF1AFE" w:rsidRPr="00CF1AFE">
              <w:rPr>
                <w:rFonts w:ascii="Noto Sans" w:hAnsi="Noto Sans" w:cs="Noto Sans"/>
                <w:szCs w:val="18"/>
              </w:rPr>
              <w:t xml:space="preserve"> Dictaminadora, Comisión </w:t>
            </w:r>
            <w:r w:rsidR="00CF1AFE">
              <w:rPr>
                <w:rFonts w:ascii="Noto Sans" w:hAnsi="Noto Sans" w:cs="Noto Sans"/>
                <w:szCs w:val="18"/>
              </w:rPr>
              <w:t>Evaluadora Interna</w:t>
            </w:r>
            <w:r w:rsidR="00CF1AFE" w:rsidRPr="00CF1AFE">
              <w:rPr>
                <w:rFonts w:ascii="Noto Sans" w:hAnsi="Noto Sans" w:cs="Noto Sans"/>
                <w:szCs w:val="18"/>
              </w:rPr>
              <w:t xml:space="preserve">, Redes de Académicas, entre otras) </w:t>
            </w:r>
            <w:r w:rsidRPr="00CF1AFE">
              <w:rPr>
                <w:rFonts w:ascii="Noto Sans" w:hAnsi="Noto Sans" w:cs="Noto Sans"/>
                <w:szCs w:val="18"/>
              </w:rPr>
              <w:t xml:space="preserve">con los instrumentos normativos que les permiten la toma de decisiones informada, rendición de cuentas y </w:t>
            </w:r>
            <w:r w:rsidRPr="00CF1AFE">
              <w:rPr>
                <w:rFonts w:ascii="Noto Sans" w:hAnsi="Noto Sans" w:cs="Noto Sans"/>
                <w:szCs w:val="18"/>
              </w:rPr>
              <w:lastRenderedPageBreak/>
              <w:t xml:space="preserve">transparencia, sin duda lo más complejo es el sistema de evaluación. Un número importante de integrantes de la comunidad INECOL participan en comisiones, comités, grupos colegiados externos, editoriales y sociedades científicas de centros hermanos y del CONAHCYT, en la evaluación del quehacer académico nacional e internacional.  </w:t>
            </w:r>
          </w:p>
        </w:tc>
        <w:tc>
          <w:tcPr>
            <w:tcW w:w="3969" w:type="dxa"/>
            <w:vAlign w:val="center"/>
          </w:tcPr>
          <w:p w14:paraId="4D431923"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lastRenderedPageBreak/>
              <w:t>Ver anexos en la Carpeta</w:t>
            </w:r>
          </w:p>
        </w:tc>
      </w:tr>
      <w:tr w:rsidR="006F7F68" w:rsidRPr="001D4B36" w14:paraId="052E317D" w14:textId="77777777" w:rsidTr="007A473A">
        <w:tc>
          <w:tcPr>
            <w:tcW w:w="419" w:type="dxa"/>
          </w:tcPr>
          <w:p w14:paraId="7D67EFB9"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11</w:t>
            </w:r>
          </w:p>
        </w:tc>
        <w:tc>
          <w:tcPr>
            <w:tcW w:w="3262" w:type="dxa"/>
          </w:tcPr>
          <w:p w14:paraId="1764982D"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Contribuir al desarrollo y consolidación de la independencia científica y tecnológica de México, así como posibilitar la colaboración oportuna en actividades de cooperación internacional y una mayor y efectiva incidencia del país en políticas globales de investigación humanística y científica, desarrollo tecnológico e innovación, en coordinación, según corresponda, con la Secretaría de Relaciones Exteriores;</w:t>
            </w:r>
          </w:p>
        </w:tc>
        <w:tc>
          <w:tcPr>
            <w:tcW w:w="4961" w:type="dxa"/>
          </w:tcPr>
          <w:p w14:paraId="092EB584" w14:textId="4F4CE791" w:rsidR="006F7F68" w:rsidRPr="001D4B36" w:rsidRDefault="006F7F68" w:rsidP="007A473A">
            <w:pPr>
              <w:kinsoku w:val="0"/>
              <w:overflowPunct w:val="0"/>
              <w:autoSpaceDE w:val="0"/>
              <w:autoSpaceDN w:val="0"/>
              <w:adjustRightInd w:val="0"/>
              <w:spacing w:line="200" w:lineRule="atLeast"/>
              <w:rPr>
                <w:rFonts w:ascii="Noto Sans" w:hAnsi="Noto Sans" w:cs="Noto Sans"/>
                <w:color w:val="FF0000"/>
                <w:szCs w:val="18"/>
                <w:highlight w:val="yellow"/>
              </w:rPr>
            </w:pPr>
            <w:r w:rsidRPr="00185859">
              <w:rPr>
                <w:rFonts w:ascii="Noto Sans" w:hAnsi="Noto Sans" w:cs="Noto Sans"/>
                <w:szCs w:val="18"/>
              </w:rPr>
              <w:t>Dos indicadores del desempeño del INECOL son</w:t>
            </w:r>
            <w:r w:rsidR="00CF1AFE" w:rsidRPr="00185859">
              <w:rPr>
                <w:rFonts w:ascii="Noto Sans" w:hAnsi="Noto Sans" w:cs="Noto Sans"/>
                <w:szCs w:val="18"/>
              </w:rPr>
              <w:t>:</w:t>
            </w:r>
            <w:r w:rsidRPr="00185859">
              <w:rPr>
                <w:rFonts w:ascii="Noto Sans" w:hAnsi="Noto Sans" w:cs="Noto Sans"/>
                <w:szCs w:val="18"/>
              </w:rPr>
              <w:t xml:space="preserve"> el número de proyectos sometidos </w:t>
            </w:r>
            <w:r w:rsidR="00CF1AFE" w:rsidRPr="00185859">
              <w:rPr>
                <w:rFonts w:ascii="Noto Sans" w:hAnsi="Noto Sans" w:cs="Noto Sans"/>
                <w:szCs w:val="18"/>
              </w:rPr>
              <w:t>(</w:t>
            </w:r>
            <w:r w:rsidR="00494604">
              <w:rPr>
                <w:rFonts w:ascii="Noto Sans" w:hAnsi="Noto Sans" w:cs="Noto Sans"/>
                <w:szCs w:val="18"/>
              </w:rPr>
              <w:t>80</w:t>
            </w:r>
            <w:r w:rsidR="00CF1AFE" w:rsidRPr="00185859">
              <w:rPr>
                <w:rFonts w:ascii="Noto Sans" w:hAnsi="Noto Sans" w:cs="Noto Sans"/>
                <w:szCs w:val="18"/>
              </w:rPr>
              <w:t xml:space="preserve">) </w:t>
            </w:r>
            <w:r w:rsidRPr="00185859">
              <w:rPr>
                <w:rFonts w:ascii="Noto Sans" w:hAnsi="Noto Sans" w:cs="Noto Sans"/>
                <w:szCs w:val="18"/>
              </w:rPr>
              <w:t>y</w:t>
            </w:r>
            <w:r w:rsidR="00CF1AFE" w:rsidRPr="00185859">
              <w:rPr>
                <w:rFonts w:ascii="Noto Sans" w:hAnsi="Noto Sans" w:cs="Noto Sans"/>
                <w:szCs w:val="18"/>
              </w:rPr>
              <w:t xml:space="preserve"> el 24% de </w:t>
            </w:r>
            <w:r w:rsidRPr="00185859">
              <w:rPr>
                <w:rFonts w:ascii="Noto Sans" w:hAnsi="Noto Sans" w:cs="Noto Sans"/>
                <w:szCs w:val="18"/>
              </w:rPr>
              <w:t>aproba</w:t>
            </w:r>
            <w:r w:rsidR="00CF1AFE" w:rsidRPr="00185859">
              <w:rPr>
                <w:rFonts w:ascii="Noto Sans" w:hAnsi="Noto Sans" w:cs="Noto Sans"/>
                <w:szCs w:val="18"/>
              </w:rPr>
              <w:t>ción en 2024</w:t>
            </w:r>
            <w:r w:rsidRPr="00185859">
              <w:rPr>
                <w:rFonts w:ascii="Noto Sans" w:hAnsi="Noto Sans" w:cs="Noto Sans"/>
                <w:szCs w:val="18"/>
              </w:rPr>
              <w:t xml:space="preserve">. De igual manera </w:t>
            </w:r>
            <w:r w:rsidR="00185859" w:rsidRPr="00185859">
              <w:rPr>
                <w:rFonts w:ascii="Noto Sans" w:hAnsi="Noto Sans" w:cs="Noto Sans"/>
                <w:szCs w:val="18"/>
              </w:rPr>
              <w:t xml:space="preserve">las 1,419 </w:t>
            </w:r>
            <w:r w:rsidRPr="00185859">
              <w:rPr>
                <w:rFonts w:ascii="Noto Sans" w:hAnsi="Noto Sans" w:cs="Noto Sans"/>
                <w:szCs w:val="18"/>
              </w:rPr>
              <w:t>colaboraci</w:t>
            </w:r>
            <w:r w:rsidR="00185859" w:rsidRPr="00185859">
              <w:rPr>
                <w:rFonts w:ascii="Noto Sans" w:hAnsi="Noto Sans" w:cs="Noto Sans"/>
                <w:szCs w:val="18"/>
              </w:rPr>
              <w:t xml:space="preserve">ones nacionales y extranjeras </w:t>
            </w:r>
            <w:r w:rsidRPr="00185859">
              <w:rPr>
                <w:rFonts w:ascii="Noto Sans" w:hAnsi="Noto Sans" w:cs="Noto Sans"/>
                <w:szCs w:val="18"/>
              </w:rPr>
              <w:t>indican la atención a la participación con otras instituciones académicas.</w:t>
            </w:r>
          </w:p>
        </w:tc>
        <w:tc>
          <w:tcPr>
            <w:tcW w:w="3969" w:type="dxa"/>
            <w:vAlign w:val="center"/>
          </w:tcPr>
          <w:p w14:paraId="5FF64126"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t>Ver anexos en la Carpeta</w:t>
            </w:r>
          </w:p>
        </w:tc>
      </w:tr>
      <w:tr w:rsidR="006F7F68" w:rsidRPr="001D4B36" w14:paraId="733998B7" w14:textId="77777777" w:rsidTr="007A473A">
        <w:tc>
          <w:tcPr>
            <w:tcW w:w="419" w:type="dxa"/>
          </w:tcPr>
          <w:p w14:paraId="582D445A"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12</w:t>
            </w:r>
          </w:p>
        </w:tc>
        <w:tc>
          <w:tcPr>
            <w:tcW w:w="3262" w:type="dxa"/>
          </w:tcPr>
          <w:p w14:paraId="5BA41686"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Fomentar, con perspectiva y paridad de género, la inserción laboral de las personas humanistas, científicas, tecnólogas e innovadoras, en particular de las jóvenes egresadas de sus programas de posgrado, y</w:t>
            </w:r>
          </w:p>
        </w:tc>
        <w:tc>
          <w:tcPr>
            <w:tcW w:w="4961" w:type="dxa"/>
          </w:tcPr>
          <w:p w14:paraId="4100E6C0"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color w:val="FF0000"/>
                <w:szCs w:val="18"/>
                <w:highlight w:val="yellow"/>
              </w:rPr>
            </w:pPr>
            <w:r w:rsidRPr="00185859">
              <w:rPr>
                <w:rFonts w:ascii="Noto Sans" w:hAnsi="Noto Sans" w:cs="Noto Sans"/>
                <w:szCs w:val="18"/>
              </w:rPr>
              <w:t>Actualmente el INECOL fomenta la paridad de género en sus grupos colegiados y también trata de mantener la participación de mujeres en sus programas de formación. Tenemos el programa de detección temprana a la vocación científica en niñas y jovencitas.</w:t>
            </w:r>
          </w:p>
        </w:tc>
        <w:tc>
          <w:tcPr>
            <w:tcW w:w="3969" w:type="dxa"/>
            <w:vAlign w:val="center"/>
          </w:tcPr>
          <w:p w14:paraId="5AA125F2"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t>Ver anexos en la Carpeta</w:t>
            </w:r>
          </w:p>
        </w:tc>
      </w:tr>
      <w:tr w:rsidR="006F7F68" w:rsidRPr="001D4B36" w14:paraId="7715EC83" w14:textId="77777777" w:rsidTr="007A473A">
        <w:tc>
          <w:tcPr>
            <w:tcW w:w="419" w:type="dxa"/>
          </w:tcPr>
          <w:p w14:paraId="03A4A297"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13</w:t>
            </w:r>
          </w:p>
        </w:tc>
        <w:tc>
          <w:tcPr>
            <w:tcW w:w="3262" w:type="dxa"/>
          </w:tcPr>
          <w:p w14:paraId="5DFE22F1"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szCs w:val="18"/>
              </w:rPr>
            </w:pPr>
            <w:r w:rsidRPr="001D4B36">
              <w:rPr>
                <w:rFonts w:ascii="Noto Sans" w:hAnsi="Noto Sans" w:cs="Noto Sans"/>
                <w:szCs w:val="18"/>
              </w:rPr>
              <w:t xml:space="preserve">Promover, conforme a las disposiciones jurídicas aplicables, el mejoramiento continuo de las </w:t>
            </w:r>
            <w:r w:rsidRPr="001D4B36">
              <w:rPr>
                <w:rFonts w:ascii="Noto Sans" w:hAnsi="Noto Sans" w:cs="Noto Sans"/>
                <w:szCs w:val="18"/>
              </w:rPr>
              <w:lastRenderedPageBreak/>
              <w:t>condiciones salariales y prestaciones laborales de las personas humanistas, científicas, tecnólogas e innovadoras adscritas a los Centros Públicos, tomando como referencia los estándares más altos a nivel nacional.</w:t>
            </w:r>
          </w:p>
        </w:tc>
        <w:tc>
          <w:tcPr>
            <w:tcW w:w="4961" w:type="dxa"/>
          </w:tcPr>
          <w:p w14:paraId="798F5835" w14:textId="77777777" w:rsidR="006F7F68" w:rsidRPr="001D4B36" w:rsidRDefault="006F7F68" w:rsidP="007A473A">
            <w:pPr>
              <w:kinsoku w:val="0"/>
              <w:overflowPunct w:val="0"/>
              <w:autoSpaceDE w:val="0"/>
              <w:autoSpaceDN w:val="0"/>
              <w:adjustRightInd w:val="0"/>
              <w:spacing w:line="200" w:lineRule="atLeast"/>
              <w:rPr>
                <w:rFonts w:ascii="Noto Sans" w:hAnsi="Noto Sans" w:cs="Noto Sans"/>
                <w:color w:val="FF0000"/>
                <w:szCs w:val="18"/>
                <w:highlight w:val="yellow"/>
              </w:rPr>
            </w:pPr>
            <w:r w:rsidRPr="00185859">
              <w:rPr>
                <w:rFonts w:ascii="Noto Sans" w:hAnsi="Noto Sans" w:cs="Noto Sans"/>
                <w:szCs w:val="18"/>
              </w:rPr>
              <w:lastRenderedPageBreak/>
              <w:t xml:space="preserve">En el estrecho margen que la Secretaría de Hacienda tiene para los salarios el INECOL aplica cualquier incremento de salario a su personal. Apoyamos las </w:t>
            </w:r>
            <w:r w:rsidRPr="00185859">
              <w:rPr>
                <w:rFonts w:ascii="Noto Sans" w:hAnsi="Noto Sans" w:cs="Noto Sans"/>
                <w:szCs w:val="18"/>
              </w:rPr>
              <w:lastRenderedPageBreak/>
              <w:t>acciones para mantener condiciones de trabajo dignas y se fomenta el ambiente laborar más favorable para el trabajo creativo y democrático.</w:t>
            </w:r>
          </w:p>
        </w:tc>
        <w:tc>
          <w:tcPr>
            <w:tcW w:w="3969" w:type="dxa"/>
            <w:vAlign w:val="center"/>
          </w:tcPr>
          <w:p w14:paraId="0B37CF3C" w14:textId="77777777" w:rsidR="006F7F68" w:rsidRPr="001D4B36" w:rsidRDefault="006F7F68" w:rsidP="007A473A">
            <w:pPr>
              <w:kinsoku w:val="0"/>
              <w:overflowPunct w:val="0"/>
              <w:autoSpaceDE w:val="0"/>
              <w:autoSpaceDN w:val="0"/>
              <w:adjustRightInd w:val="0"/>
              <w:spacing w:line="200" w:lineRule="atLeast"/>
              <w:jc w:val="center"/>
              <w:rPr>
                <w:rFonts w:ascii="Noto Sans" w:hAnsi="Noto Sans" w:cs="Noto Sans"/>
                <w:szCs w:val="18"/>
              </w:rPr>
            </w:pPr>
            <w:r w:rsidRPr="001D4B36">
              <w:rPr>
                <w:rStyle w:val="eop"/>
                <w:rFonts w:ascii="Noto Sans" w:eastAsia="Calibri Light" w:hAnsi="Noto Sans" w:cs="Noto Sans"/>
                <w:szCs w:val="18"/>
              </w:rPr>
              <w:lastRenderedPageBreak/>
              <w:t>Ver anexos en la Carpeta</w:t>
            </w:r>
          </w:p>
        </w:tc>
      </w:tr>
    </w:tbl>
    <w:p w14:paraId="1F1F54E1" w14:textId="77777777" w:rsidR="006F7F68" w:rsidRPr="001D4B36" w:rsidRDefault="006F7F68" w:rsidP="006F7F68">
      <w:pPr>
        <w:rPr>
          <w:rFonts w:ascii="Noto Sans" w:hAnsi="Noto Sans" w:cs="Noto Sans"/>
          <w:b/>
          <w:bCs/>
          <w:sz w:val="20"/>
          <w:szCs w:val="20"/>
        </w:rPr>
      </w:pPr>
    </w:p>
    <w:p w14:paraId="1007F5D0" w14:textId="77777777" w:rsidR="006F7F68" w:rsidRPr="001D4B36" w:rsidRDefault="006F7F68" w:rsidP="006F7F68">
      <w:pPr>
        <w:rPr>
          <w:rFonts w:ascii="Noto Sans" w:hAnsi="Noto Sans" w:cs="Noto Sans"/>
          <w:b/>
          <w:bCs/>
          <w:sz w:val="20"/>
          <w:szCs w:val="20"/>
        </w:rPr>
      </w:pPr>
      <w:r w:rsidRPr="001D4B36">
        <w:rPr>
          <w:rFonts w:ascii="Noto Sans" w:hAnsi="Noto Sans" w:cs="Noto Sans"/>
          <w:b/>
          <w:bCs/>
          <w:sz w:val="20"/>
          <w:szCs w:val="20"/>
        </w:rPr>
        <w:br w:type="page"/>
      </w:r>
    </w:p>
    <w:p w14:paraId="1C6DD746" w14:textId="77777777" w:rsidR="006F7F68" w:rsidRPr="001D4B36" w:rsidRDefault="006F7F68" w:rsidP="006F7F68">
      <w:pPr>
        <w:rPr>
          <w:rFonts w:ascii="Noto Sans" w:hAnsi="Noto Sans" w:cs="Noto Sans"/>
          <w:b/>
          <w:bCs/>
          <w:sz w:val="20"/>
          <w:szCs w:val="20"/>
        </w:rPr>
        <w:sectPr w:rsidR="006F7F68" w:rsidRPr="001D4B36" w:rsidSect="006F7F68">
          <w:footerReference w:type="default" r:id="rId10"/>
          <w:pgSz w:w="15840" w:h="12240" w:orient="landscape"/>
          <w:pgMar w:top="1701" w:right="1418" w:bottom="1701" w:left="1418" w:header="709" w:footer="709" w:gutter="0"/>
          <w:cols w:space="708"/>
          <w:docGrid w:linePitch="360"/>
        </w:sectPr>
      </w:pPr>
    </w:p>
    <w:p w14:paraId="3CE86070" w14:textId="77777777" w:rsidR="006F7F68" w:rsidRPr="001D4B36" w:rsidRDefault="006F7F68" w:rsidP="00C14E50">
      <w:pPr>
        <w:pStyle w:val="Ttulo2"/>
      </w:pPr>
      <w:r w:rsidRPr="001D4B36">
        <w:lastRenderedPageBreak/>
        <w:t>6.2 Actividades realizadas por el INECOL para su articulación en el Sistema de Centros Públicos</w:t>
      </w:r>
    </w:p>
    <w:p w14:paraId="39C87185" w14:textId="39E71F39" w:rsidR="006F7F68" w:rsidRPr="001D4B36" w:rsidRDefault="006F7F68" w:rsidP="00C14E50">
      <w:pPr>
        <w:pStyle w:val="Contenido1"/>
      </w:pPr>
      <w:r w:rsidRPr="001D4B36">
        <w:t xml:space="preserve">El nivel operativo de vinculación del INECOL con los Centros Públicos se inicia con la colaboración entre el personal académico; ya sea por líneas de trabajo, proyectos conjuntos y en áreas geográficas de estudio. El siguiente nivel lo facilita la realización de proyectos vinculados que generalmente ocurre en la elaboración para diferentes convocatorias. Las acciones se mantienen durante la vigencia del proyecto y además </w:t>
      </w:r>
      <w:r w:rsidR="00185859">
        <w:t xml:space="preserve">se conservan </w:t>
      </w:r>
      <w:r w:rsidRPr="001D4B36">
        <w:t xml:space="preserve">los lazos de cooperación. </w:t>
      </w:r>
    </w:p>
    <w:p w14:paraId="59B7C412" w14:textId="77777777" w:rsidR="006F7F68" w:rsidRPr="001D4B36" w:rsidRDefault="006F7F68" w:rsidP="00C14E50">
      <w:pPr>
        <w:pStyle w:val="Contenido1"/>
      </w:pPr>
      <w:r w:rsidRPr="001D4B36">
        <w:t xml:space="preserve">Recibí el encargo de la dirección general el 13 de mayo de 2022 y durante este año asumí la responsabilidad de mejorar la relación del INECOL con el entonces CONACYT, ello con el apoyo de la Dra. Álvarez </w:t>
      </w:r>
      <w:proofErr w:type="spellStart"/>
      <w:r w:rsidRPr="001D4B36">
        <w:t>Buylla</w:t>
      </w:r>
      <w:proofErr w:type="spellEnd"/>
      <w:r w:rsidRPr="001D4B36">
        <w:t xml:space="preserve">. Las reuniones convocadas por el Dr. Alejandro Díaz titular de la Unidad de Articulación Sectorial y Regional me permitieron el contacto con los directores de los centros hermanos del Consejo. </w:t>
      </w:r>
    </w:p>
    <w:p w14:paraId="33B87D3D" w14:textId="4E9F24AF" w:rsidR="00185859" w:rsidRDefault="006F7F68" w:rsidP="00C14E50">
      <w:pPr>
        <w:pStyle w:val="Contenido1"/>
      </w:pPr>
      <w:r w:rsidRPr="001D4B36">
        <w:t>En 2023 se integraron las tres coordinaciones</w:t>
      </w:r>
      <w:r w:rsidR="00185859">
        <w:t xml:space="preserve"> de Centros Públicos</w:t>
      </w:r>
      <w:r w:rsidRPr="001D4B36">
        <w:t>. El INECOL fue designado para coordinar la de Salud y Ambiente. El trabajo realizado se inició por conocer el diseño y marcha de los siete centros de investigación. Posteriormente se compararon los marcos normativos, las estructuras organizativas, las líneas de investigación, los posgrados y las áreas de incidencia. Nuestro plan fue realizar las reuniones en cada centro público y con ello conocer la infraestructura y sus proyectos emblemáticos, sin embargo, las agendas de cada director y las distancias sólo nos permitieron visitar un centro y las demás reuniones fueron virtuales o en la CDMX.</w:t>
      </w:r>
      <w:r w:rsidR="00017B23" w:rsidRPr="001D4B36">
        <w:t xml:space="preserve"> Durante el año 2024 se realizaron</w:t>
      </w:r>
      <w:r w:rsidR="00A70DFB">
        <w:t xml:space="preserve"> 6</w:t>
      </w:r>
      <w:r w:rsidR="00017B23" w:rsidRPr="00494604">
        <w:rPr>
          <w:color w:val="EE0000"/>
        </w:rPr>
        <w:t xml:space="preserve"> </w:t>
      </w:r>
      <w:r w:rsidR="00017B23" w:rsidRPr="001D4B36">
        <w:t xml:space="preserve">reuniones con la Coordinación de Salud y </w:t>
      </w:r>
      <w:r w:rsidR="00185859">
        <w:t>A</w:t>
      </w:r>
      <w:r w:rsidR="00017B23" w:rsidRPr="001D4B36">
        <w:t>mbiente</w:t>
      </w:r>
      <w:r w:rsidR="00185859">
        <w:t>.</w:t>
      </w:r>
    </w:p>
    <w:p w14:paraId="19AB2236" w14:textId="062E1494" w:rsidR="006F7F68" w:rsidRPr="001D4B36" w:rsidRDefault="006F7F68" w:rsidP="00C14E50">
      <w:pPr>
        <w:pStyle w:val="Contenido1"/>
        <w:rPr>
          <w:rFonts w:eastAsia="Times New Roman"/>
          <w:lang w:eastAsia="es-MX"/>
        </w:rPr>
      </w:pPr>
      <w:r w:rsidRPr="001D4B36">
        <w:t>En 2024 se sistematizaron los esfuerzos de colación de los centros y se hicieron propuestas de trabajo con los mandatos de la Ley de HCTI. Nos reunimos 1</w:t>
      </w:r>
      <w:r w:rsidR="00B7642F" w:rsidRPr="001D4B36">
        <w:t>6</w:t>
      </w:r>
      <w:r w:rsidRPr="001D4B36">
        <w:t xml:space="preserve"> veces con la Unidad de Articulación Sectorial y Regional y otros Centros Públicos con los siguientes temas: a) Doctorado Nacional en Agroecología, b) Especialidad para el Bienestar Comunitario en Manejo Costero c) CEIBAAS Tlaxcala d) Asuntos jurídicos e) </w:t>
      </w:r>
      <w:r w:rsidRPr="001D4B36">
        <w:rPr>
          <w:rFonts w:eastAsia="Times New Roman"/>
          <w:lang w:eastAsia="es-MX"/>
        </w:rPr>
        <w:t>Temas presupuestales. En cada una de esas reuniones de compartió información de la gestión de los centros.</w:t>
      </w:r>
    </w:p>
    <w:p w14:paraId="1D6E0F6C" w14:textId="77777777" w:rsidR="00B7642F" w:rsidRPr="001D4B36" w:rsidRDefault="00B7642F" w:rsidP="00C14E50">
      <w:pPr>
        <w:pStyle w:val="Ttulo2"/>
        <w:rPr>
          <w:lang w:eastAsia="es-MX"/>
        </w:rPr>
      </w:pPr>
      <w:r w:rsidRPr="001D4B36">
        <w:rPr>
          <w:lang w:eastAsia="es-MX"/>
        </w:rPr>
        <w:lastRenderedPageBreak/>
        <w:t>6.3 Acciones Interinstitucionales</w:t>
      </w:r>
    </w:p>
    <w:p w14:paraId="56B5CCDB" w14:textId="77777777" w:rsidR="00B7642F" w:rsidRPr="001D4B36" w:rsidRDefault="00B7642F" w:rsidP="00C14E50">
      <w:pPr>
        <w:pStyle w:val="Contenido1"/>
      </w:pPr>
      <w:r w:rsidRPr="001D4B36">
        <w:t>Se dio seguimiento puntual a ingresos y gastos de 91 proyectos de investigación con recursos de terceros y prestación de servicios, con estricta vigilancia a los lineamientos de cada fuente financiadora y legislación aplicable. De los cuales se elaboraron y presentaron 40 informes financieros. L</w:t>
      </w:r>
      <w:r w:rsidRPr="001D4B36">
        <w:rPr>
          <w:rFonts w:eastAsia="Calibri Light"/>
        </w:rPr>
        <w:t>os proyectos de investigación que se efectuaron en 2024 fueron: 30 con empresas, 14 con Gobiernos de diferentes niveles, 18 con organizaciones sociales, 12 con instituciones educativas y 17 con CONAHCYT.</w:t>
      </w:r>
    </w:p>
    <w:p w14:paraId="46C80161" w14:textId="1905D129" w:rsidR="00B7642F" w:rsidRPr="001D4B36" w:rsidRDefault="00B7642F" w:rsidP="00C14E50">
      <w:pPr>
        <w:pStyle w:val="Contenido1"/>
        <w:rPr>
          <w:lang w:eastAsia="es-MX"/>
        </w:rPr>
      </w:pPr>
      <w:r w:rsidRPr="001D4B36">
        <w:rPr>
          <w:lang w:eastAsia="es-MX"/>
        </w:rPr>
        <w:t xml:space="preserve">La prioridad del INECOL fue la atención a la vida interna del Instituto que contempló el impulso de nueve proyectos especiales de la Dirección General. </w:t>
      </w:r>
    </w:p>
    <w:p w14:paraId="01E9B31E" w14:textId="66187919" w:rsidR="00B7642F" w:rsidRPr="001D4B36" w:rsidRDefault="00B7642F" w:rsidP="00C14E50">
      <w:pPr>
        <w:pStyle w:val="Contenido1"/>
        <w:rPr>
          <w:lang w:eastAsia="es-MX"/>
        </w:rPr>
      </w:pPr>
      <w:r w:rsidRPr="001D4B36">
        <w:rPr>
          <w:lang w:eastAsia="es-MX"/>
        </w:rPr>
        <w:t xml:space="preserve">Estudio de la biodiversidad y las culturas: </w:t>
      </w:r>
    </w:p>
    <w:p w14:paraId="7D89474F" w14:textId="628BB53B" w:rsidR="00B7642F" w:rsidRPr="001D4B36" w:rsidRDefault="00B7642F" w:rsidP="00C14E50">
      <w:pPr>
        <w:pStyle w:val="Contenido1"/>
        <w:numPr>
          <w:ilvl w:val="0"/>
          <w:numId w:val="11"/>
        </w:numPr>
        <w:rPr>
          <w:lang w:val="it-IT" w:eastAsia="es-MX"/>
        </w:rPr>
      </w:pPr>
      <w:r w:rsidRPr="001D4B36">
        <w:rPr>
          <w:lang w:val="it-IT" w:eastAsia="es-MX"/>
        </w:rPr>
        <w:t xml:space="preserve">e-floraMex. </w:t>
      </w:r>
    </w:p>
    <w:p w14:paraId="1681917F" w14:textId="0A446A67" w:rsidR="00B7642F" w:rsidRPr="001D4B36" w:rsidRDefault="00B7642F" w:rsidP="00C14E50">
      <w:pPr>
        <w:pStyle w:val="Contenido1"/>
        <w:numPr>
          <w:ilvl w:val="0"/>
          <w:numId w:val="11"/>
        </w:numPr>
        <w:rPr>
          <w:lang w:val="it-IT" w:eastAsia="es-MX"/>
        </w:rPr>
      </w:pPr>
      <w:r w:rsidRPr="001D4B36">
        <w:rPr>
          <w:lang w:val="it-IT" w:eastAsia="es-MX"/>
        </w:rPr>
        <w:t xml:space="preserve">e-Scarab.mx. </w:t>
      </w:r>
    </w:p>
    <w:p w14:paraId="03B77FFE" w14:textId="0F183396" w:rsidR="00B7642F" w:rsidRPr="001D4B36" w:rsidRDefault="00B7642F" w:rsidP="00C14E50">
      <w:pPr>
        <w:pStyle w:val="Contenido1"/>
        <w:numPr>
          <w:ilvl w:val="0"/>
          <w:numId w:val="11"/>
        </w:numPr>
        <w:rPr>
          <w:lang w:eastAsia="es-MX"/>
        </w:rPr>
      </w:pPr>
      <w:r w:rsidRPr="001D4B36">
        <w:rPr>
          <w:lang w:eastAsia="es-MX"/>
        </w:rPr>
        <w:t xml:space="preserve">e-hongos. Conservación y establecimiento de la plataforma electrónica </w:t>
      </w:r>
    </w:p>
    <w:p w14:paraId="31B5F85C" w14:textId="5AB04AE1" w:rsidR="00B7642F" w:rsidRPr="001D4B36" w:rsidRDefault="00B7642F" w:rsidP="00C14E50">
      <w:pPr>
        <w:pStyle w:val="Contenido1"/>
        <w:numPr>
          <w:ilvl w:val="0"/>
          <w:numId w:val="11"/>
        </w:numPr>
        <w:rPr>
          <w:lang w:eastAsia="es-MX"/>
        </w:rPr>
      </w:pPr>
      <w:r w:rsidRPr="001D4B36">
        <w:rPr>
          <w:lang w:eastAsia="es-MX"/>
        </w:rPr>
        <w:t>Conservación de la biodiversidad en Áreas Naturales Protegidas.</w:t>
      </w:r>
    </w:p>
    <w:p w14:paraId="2D05A708" w14:textId="5BDD7FDD" w:rsidR="00B7642F" w:rsidRPr="001D4B36" w:rsidRDefault="00B7642F" w:rsidP="00C14E50">
      <w:pPr>
        <w:pStyle w:val="Contenido1"/>
        <w:numPr>
          <w:ilvl w:val="0"/>
          <w:numId w:val="11"/>
        </w:numPr>
        <w:rPr>
          <w:lang w:eastAsia="es-MX"/>
        </w:rPr>
      </w:pPr>
      <w:r w:rsidRPr="001D4B36">
        <w:rPr>
          <w:lang w:eastAsia="es-MX"/>
        </w:rPr>
        <w:t xml:space="preserve">El proyecto Costas Sustentables. </w:t>
      </w:r>
    </w:p>
    <w:p w14:paraId="4CE5ADEE" w14:textId="530DE7D4" w:rsidR="00B7642F" w:rsidRPr="001D4B36" w:rsidRDefault="00B7642F" w:rsidP="00C14E50">
      <w:pPr>
        <w:pStyle w:val="Contenido1"/>
        <w:numPr>
          <w:ilvl w:val="0"/>
          <w:numId w:val="11"/>
        </w:numPr>
        <w:rPr>
          <w:lang w:eastAsia="es-MX"/>
        </w:rPr>
      </w:pPr>
      <w:r w:rsidRPr="001D4B36">
        <w:rPr>
          <w:lang w:eastAsia="es-MX"/>
        </w:rPr>
        <w:t xml:space="preserve">Propuesta educativa integral. </w:t>
      </w:r>
    </w:p>
    <w:p w14:paraId="224E5D01" w14:textId="15049834" w:rsidR="00B7642F" w:rsidRPr="001D4B36" w:rsidRDefault="00B7642F" w:rsidP="00C14E50">
      <w:pPr>
        <w:pStyle w:val="Contenido1"/>
        <w:numPr>
          <w:ilvl w:val="0"/>
          <w:numId w:val="11"/>
        </w:numPr>
        <w:rPr>
          <w:lang w:eastAsia="es-MX"/>
        </w:rPr>
      </w:pPr>
      <w:r w:rsidRPr="001D4B36">
        <w:rPr>
          <w:lang w:eastAsia="es-MX"/>
        </w:rPr>
        <w:t>Laboratorio de plantas medicinales</w:t>
      </w:r>
    </w:p>
    <w:p w14:paraId="3352A52A" w14:textId="17E8F331" w:rsidR="00B7642F" w:rsidRPr="001D4B36" w:rsidRDefault="00B7642F" w:rsidP="00C14E50">
      <w:pPr>
        <w:pStyle w:val="Contenido1"/>
        <w:numPr>
          <w:ilvl w:val="0"/>
          <w:numId w:val="11"/>
        </w:numPr>
        <w:rPr>
          <w:lang w:eastAsia="es-MX"/>
        </w:rPr>
      </w:pPr>
      <w:r w:rsidRPr="001D4B36">
        <w:rPr>
          <w:lang w:eastAsia="es-MX"/>
        </w:rPr>
        <w:t>Transferencia de tecnología.</w:t>
      </w:r>
    </w:p>
    <w:p w14:paraId="0496FFC6" w14:textId="1846AFF8" w:rsidR="00B7642F" w:rsidRPr="001D4B36" w:rsidRDefault="00B7642F" w:rsidP="00C14E50">
      <w:pPr>
        <w:pStyle w:val="Contenido1"/>
        <w:numPr>
          <w:ilvl w:val="0"/>
          <w:numId w:val="11"/>
        </w:numPr>
        <w:rPr>
          <w:lang w:eastAsia="es-MX"/>
        </w:rPr>
      </w:pPr>
      <w:r w:rsidRPr="001D4B36">
        <w:rPr>
          <w:lang w:eastAsia="es-MX"/>
        </w:rPr>
        <w:t>Sistematización del conocimiento y ciencia abierta.</w:t>
      </w:r>
    </w:p>
    <w:p w14:paraId="2FDEF54B" w14:textId="3B8247E0" w:rsidR="00B7642F" w:rsidRPr="001D4B36" w:rsidRDefault="00B7642F" w:rsidP="00C14E50">
      <w:pPr>
        <w:pStyle w:val="Contenido1"/>
        <w:rPr>
          <w:lang w:eastAsia="es-MX"/>
        </w:rPr>
      </w:pPr>
      <w:r w:rsidRPr="001D4B36">
        <w:rPr>
          <w:lang w:eastAsia="es-MX"/>
        </w:rPr>
        <w:t xml:space="preserve">Se aprobaron dos laboratorios nacionales interinstitucionales: Laboratorio Nacional de evaluación de emisiones de carbono (LNC-MexFlux) y el de Plantas Medicinales (LANPLAM). </w:t>
      </w:r>
    </w:p>
    <w:p w14:paraId="631700D5" w14:textId="5069AFF0" w:rsidR="00B7642F" w:rsidRPr="001D4B36" w:rsidRDefault="00B7642F" w:rsidP="00C14E50">
      <w:pPr>
        <w:pStyle w:val="Contenido1"/>
      </w:pPr>
      <w:r w:rsidRPr="001D4B36">
        <w:lastRenderedPageBreak/>
        <w:t>Respecto a la producción académica, en el Objetivo Estratégico “Programa de Investigación Científica” para el indicador “Generación de Conocimiento de Calidad” se planteó la realización de 315 publicaciones arbitradas y al cierre del 31 de diciembre de 2024 se superó lo programado con 39</w:t>
      </w:r>
      <w:r w:rsidR="00AF4337">
        <w:t>0</w:t>
      </w:r>
      <w:r w:rsidRPr="001D4B36">
        <w:t xml:space="preserve"> publicaciones arbitradas, de las cuales resultaron 294 productos entre artículos JCR, 17 publicaciones arbitradas C0NAHCYT y 39 capítulos de libro. </w:t>
      </w:r>
    </w:p>
    <w:p w14:paraId="6CB34CD1" w14:textId="77777777" w:rsidR="00B7642F" w:rsidRPr="001D4B36" w:rsidRDefault="00B7642F" w:rsidP="00C14E50">
      <w:pPr>
        <w:pStyle w:val="Contenido1"/>
      </w:pPr>
      <w:r w:rsidRPr="001D4B36">
        <w:t>Entre los artículos que tuvieron mayor factor de impacto se destacan los siguientes:</w:t>
      </w:r>
    </w:p>
    <w:p w14:paraId="3596E0A4" w14:textId="77777777" w:rsidR="00B7642F" w:rsidRPr="001D4B36" w:rsidRDefault="00B7642F" w:rsidP="00B7642F">
      <w:pPr>
        <w:pStyle w:val="Prrafodelista"/>
        <w:numPr>
          <w:ilvl w:val="0"/>
          <w:numId w:val="8"/>
        </w:numPr>
        <w:spacing w:before="0" w:after="160" w:line="240" w:lineRule="atLeast"/>
        <w:contextualSpacing w:val="0"/>
        <w:rPr>
          <w:rFonts w:ascii="Noto Sans" w:hAnsi="Noto Sans" w:cs="Noto Sans"/>
          <w:i/>
          <w:iCs/>
          <w:szCs w:val="18"/>
          <w:lang w:val="en-US"/>
        </w:rPr>
      </w:pPr>
      <w:r w:rsidRPr="001D4B36">
        <w:rPr>
          <w:rFonts w:ascii="Noto Sans" w:hAnsi="Noto Sans" w:cs="Noto Sans"/>
          <w:i/>
          <w:iCs/>
          <w:szCs w:val="18"/>
        </w:rPr>
        <w:t xml:space="preserve">Gross, N., Maestre, F. T., Liancourt, P., </w:t>
      </w:r>
      <w:proofErr w:type="spellStart"/>
      <w:r w:rsidRPr="001D4B36">
        <w:rPr>
          <w:rFonts w:ascii="Noto Sans" w:hAnsi="Noto Sans" w:cs="Noto Sans"/>
          <w:i/>
          <w:iCs/>
          <w:szCs w:val="18"/>
        </w:rPr>
        <w:t>Berdugo</w:t>
      </w:r>
      <w:proofErr w:type="spellEnd"/>
      <w:r w:rsidRPr="001D4B36">
        <w:rPr>
          <w:rFonts w:ascii="Noto Sans" w:hAnsi="Noto Sans" w:cs="Noto Sans"/>
          <w:i/>
          <w:iCs/>
          <w:szCs w:val="18"/>
        </w:rPr>
        <w:t xml:space="preserve">, M., Martin, R., </w:t>
      </w:r>
      <w:proofErr w:type="spellStart"/>
      <w:r w:rsidRPr="001D4B36">
        <w:rPr>
          <w:rFonts w:ascii="Noto Sans" w:hAnsi="Noto Sans" w:cs="Noto Sans"/>
          <w:i/>
          <w:iCs/>
          <w:szCs w:val="18"/>
        </w:rPr>
        <w:t>Gozalo</w:t>
      </w:r>
      <w:proofErr w:type="spellEnd"/>
      <w:r w:rsidRPr="001D4B36">
        <w:rPr>
          <w:rFonts w:ascii="Noto Sans" w:hAnsi="Noto Sans" w:cs="Noto Sans"/>
          <w:i/>
          <w:iCs/>
          <w:szCs w:val="18"/>
        </w:rPr>
        <w:t xml:space="preserve">, B., Ochoa, V., Delgado-Baquerizo, M., Maire, V., Saiz, H., </w:t>
      </w:r>
      <w:proofErr w:type="spellStart"/>
      <w:r w:rsidRPr="001D4B36">
        <w:rPr>
          <w:rFonts w:ascii="Noto Sans" w:hAnsi="Noto Sans" w:cs="Noto Sans"/>
          <w:i/>
          <w:iCs/>
          <w:szCs w:val="18"/>
        </w:rPr>
        <w:t>Soliveres</w:t>
      </w:r>
      <w:proofErr w:type="spellEnd"/>
      <w:r w:rsidRPr="001D4B36">
        <w:rPr>
          <w:rFonts w:ascii="Noto Sans" w:hAnsi="Noto Sans" w:cs="Noto Sans"/>
          <w:i/>
          <w:iCs/>
          <w:szCs w:val="18"/>
        </w:rPr>
        <w:t xml:space="preserve">, S., Valencia, E., Eldridge, D. J., Guirado, E., </w:t>
      </w:r>
      <w:proofErr w:type="spellStart"/>
      <w:r w:rsidRPr="001D4B36">
        <w:rPr>
          <w:rFonts w:ascii="Noto Sans" w:hAnsi="Noto Sans" w:cs="Noto Sans"/>
          <w:i/>
          <w:iCs/>
          <w:szCs w:val="18"/>
        </w:rPr>
        <w:t>Jabot</w:t>
      </w:r>
      <w:proofErr w:type="spellEnd"/>
      <w:r w:rsidRPr="001D4B36">
        <w:rPr>
          <w:rFonts w:ascii="Noto Sans" w:hAnsi="Noto Sans" w:cs="Noto Sans"/>
          <w:i/>
          <w:iCs/>
          <w:szCs w:val="18"/>
        </w:rPr>
        <w:t xml:space="preserve">, F., Asensio, S., Gaitán, J. J., García-Gómez, M., Martínez, P., ... </w:t>
      </w:r>
      <w:r w:rsidRPr="001D4B36">
        <w:rPr>
          <w:rFonts w:ascii="Noto Sans" w:hAnsi="Noto Sans" w:cs="Noto Sans"/>
          <w:b/>
          <w:bCs/>
          <w:i/>
          <w:iCs/>
          <w:szCs w:val="18"/>
          <w:lang w:val="en-US"/>
        </w:rPr>
        <w:t>Reyes-Gómez, V</w:t>
      </w:r>
      <w:r w:rsidRPr="001D4B36">
        <w:rPr>
          <w:rFonts w:ascii="Noto Sans" w:hAnsi="Noto Sans" w:cs="Noto Sans"/>
          <w:i/>
          <w:iCs/>
          <w:szCs w:val="18"/>
          <w:lang w:val="en-US"/>
        </w:rPr>
        <w:t xml:space="preserve">, … Le </w:t>
      </w:r>
      <w:proofErr w:type="spellStart"/>
      <w:r w:rsidRPr="001D4B36">
        <w:rPr>
          <w:rFonts w:ascii="Noto Sans" w:hAnsi="Noto Sans" w:cs="Noto Sans"/>
          <w:i/>
          <w:iCs/>
          <w:szCs w:val="18"/>
          <w:lang w:val="en-US"/>
        </w:rPr>
        <w:t>Bagousse-Pinguet</w:t>
      </w:r>
      <w:proofErr w:type="spellEnd"/>
      <w:r w:rsidRPr="001D4B36">
        <w:rPr>
          <w:rFonts w:ascii="Noto Sans" w:hAnsi="Noto Sans" w:cs="Noto Sans"/>
          <w:i/>
          <w:iCs/>
          <w:szCs w:val="18"/>
          <w:lang w:val="en-US"/>
        </w:rPr>
        <w:t>, Y. (2024). Unforeseen plant phenotypic diversity in a dry and grazed world. Nature, 632(8026), 808–814. https://doi.org/10.1038/s41586-024-07731-3. FI 50.5.</w:t>
      </w:r>
    </w:p>
    <w:p w14:paraId="7834D103" w14:textId="77777777" w:rsidR="00B7642F" w:rsidRPr="001D4B36" w:rsidRDefault="00B7642F" w:rsidP="00B7642F">
      <w:pPr>
        <w:pStyle w:val="Prrafodelista"/>
        <w:numPr>
          <w:ilvl w:val="0"/>
          <w:numId w:val="8"/>
        </w:numPr>
        <w:spacing w:before="0" w:after="160" w:line="240" w:lineRule="atLeast"/>
        <w:contextualSpacing w:val="0"/>
        <w:rPr>
          <w:rFonts w:ascii="Noto Sans" w:hAnsi="Noto Sans" w:cs="Noto Sans"/>
          <w:i/>
          <w:iCs/>
          <w:szCs w:val="18"/>
          <w:lang w:val="en-US"/>
        </w:rPr>
      </w:pPr>
      <w:r w:rsidRPr="001D4B36">
        <w:rPr>
          <w:rFonts w:ascii="Noto Sans" w:hAnsi="Noto Sans" w:cs="Noto Sans"/>
          <w:i/>
          <w:iCs/>
          <w:szCs w:val="18"/>
          <w:lang w:val="en-US"/>
        </w:rPr>
        <w:t xml:space="preserve">Lawlor, J. A., Comte, L., </w:t>
      </w:r>
      <w:proofErr w:type="spellStart"/>
      <w:r w:rsidRPr="001D4B36">
        <w:rPr>
          <w:rFonts w:ascii="Noto Sans" w:hAnsi="Noto Sans" w:cs="Noto Sans"/>
          <w:i/>
          <w:iCs/>
          <w:szCs w:val="18"/>
          <w:lang w:val="en-US"/>
        </w:rPr>
        <w:t>Grenouillet</w:t>
      </w:r>
      <w:proofErr w:type="spellEnd"/>
      <w:r w:rsidRPr="001D4B36">
        <w:rPr>
          <w:rFonts w:ascii="Noto Sans" w:hAnsi="Noto Sans" w:cs="Noto Sans"/>
          <w:i/>
          <w:iCs/>
          <w:szCs w:val="18"/>
          <w:lang w:val="en-US"/>
        </w:rPr>
        <w:t xml:space="preserve">, G., Lenoir, J., Baecher, J. A., Bandara, R. M. W. J., Bertrand, R., Chen, I.-C., Diamond, S. E., Lancaster, L. T., Moore, N., </w:t>
      </w:r>
      <w:proofErr w:type="spellStart"/>
      <w:r w:rsidRPr="001D4B36">
        <w:rPr>
          <w:rFonts w:ascii="Noto Sans" w:hAnsi="Noto Sans" w:cs="Noto Sans"/>
          <w:i/>
          <w:iCs/>
          <w:szCs w:val="18"/>
          <w:lang w:val="en-US"/>
        </w:rPr>
        <w:t>Murienne</w:t>
      </w:r>
      <w:proofErr w:type="spellEnd"/>
      <w:r w:rsidRPr="001D4B36">
        <w:rPr>
          <w:rFonts w:ascii="Noto Sans" w:hAnsi="Noto Sans" w:cs="Noto Sans"/>
          <w:i/>
          <w:iCs/>
          <w:szCs w:val="18"/>
          <w:lang w:val="en-US"/>
        </w:rPr>
        <w:t xml:space="preserve">, J., Oliveira, B. F., </w:t>
      </w:r>
      <w:proofErr w:type="spellStart"/>
      <w:r w:rsidRPr="001D4B36">
        <w:rPr>
          <w:rFonts w:ascii="Noto Sans" w:hAnsi="Noto Sans" w:cs="Noto Sans"/>
          <w:i/>
          <w:iCs/>
          <w:szCs w:val="18"/>
          <w:lang w:val="en-US"/>
        </w:rPr>
        <w:t>Pecl</w:t>
      </w:r>
      <w:proofErr w:type="spellEnd"/>
      <w:r w:rsidRPr="001D4B36">
        <w:rPr>
          <w:rFonts w:ascii="Noto Sans" w:hAnsi="Noto Sans" w:cs="Noto Sans"/>
          <w:i/>
          <w:iCs/>
          <w:szCs w:val="18"/>
          <w:lang w:val="en-US"/>
        </w:rPr>
        <w:t xml:space="preserve">, G. T., Pinsky, M. L., Rolland, J., Rubenstein, M., Scheffers, B. R., Thompson, L. M., … </w:t>
      </w:r>
      <w:r w:rsidRPr="001D4B36">
        <w:rPr>
          <w:rFonts w:ascii="Noto Sans" w:hAnsi="Noto Sans" w:cs="Noto Sans"/>
          <w:b/>
          <w:bCs/>
          <w:i/>
          <w:iCs/>
          <w:szCs w:val="18"/>
          <w:lang w:val="en-US"/>
        </w:rPr>
        <w:t>Villalobos-F</w:t>
      </w:r>
      <w:r w:rsidRPr="001D4B36">
        <w:rPr>
          <w:rFonts w:ascii="Noto Sans" w:hAnsi="Noto Sans" w:cs="Noto Sans"/>
          <w:i/>
          <w:iCs/>
          <w:szCs w:val="18"/>
          <w:lang w:val="en-US"/>
        </w:rPr>
        <w:t>, Weiskopf, S, Sunday, J. (2024). Mechanisms, detection and impacts of species redistributions under climate change. Nature Reviews Earth &amp;amp; Environment, 5(5), 351–368. https://doi.org/10.1038/s43017-024-00527-z. FI 49.7.</w:t>
      </w:r>
    </w:p>
    <w:p w14:paraId="1D434D56" w14:textId="77777777" w:rsidR="00B7642F" w:rsidRPr="001D4B36" w:rsidRDefault="00B7642F" w:rsidP="00B7642F">
      <w:pPr>
        <w:pStyle w:val="Prrafodelista"/>
        <w:numPr>
          <w:ilvl w:val="0"/>
          <w:numId w:val="8"/>
        </w:numPr>
        <w:spacing w:before="0" w:after="160" w:line="240" w:lineRule="atLeast"/>
        <w:contextualSpacing w:val="0"/>
        <w:rPr>
          <w:rFonts w:ascii="Noto Sans" w:hAnsi="Noto Sans" w:cs="Noto Sans"/>
          <w:i/>
          <w:iCs/>
          <w:szCs w:val="18"/>
        </w:rPr>
      </w:pPr>
      <w:r w:rsidRPr="00C14E50">
        <w:rPr>
          <w:rFonts w:ascii="Noto Sans" w:hAnsi="Noto Sans" w:cs="Noto Sans"/>
          <w:i/>
          <w:iCs/>
          <w:szCs w:val="18"/>
        </w:rPr>
        <w:t xml:space="preserve">Díaz-Martínez, P., Maestre, F. T., Moreno-Jiménez, E., Delgado-Baquerizo, M., Eldridge, D. J., Saiz, H., Gross, N., Le </w:t>
      </w:r>
      <w:proofErr w:type="spellStart"/>
      <w:r w:rsidRPr="00C14E50">
        <w:rPr>
          <w:rFonts w:ascii="Noto Sans" w:hAnsi="Noto Sans" w:cs="Noto Sans"/>
          <w:i/>
          <w:iCs/>
          <w:szCs w:val="18"/>
        </w:rPr>
        <w:t>Bagousse-Pinguet</w:t>
      </w:r>
      <w:proofErr w:type="spellEnd"/>
      <w:r w:rsidRPr="00C14E50">
        <w:rPr>
          <w:rFonts w:ascii="Noto Sans" w:hAnsi="Noto Sans" w:cs="Noto Sans"/>
          <w:i/>
          <w:iCs/>
          <w:szCs w:val="18"/>
        </w:rPr>
        <w:t xml:space="preserve">, Y., </w:t>
      </w:r>
      <w:proofErr w:type="spellStart"/>
      <w:r w:rsidRPr="00C14E50">
        <w:rPr>
          <w:rFonts w:ascii="Noto Sans" w:hAnsi="Noto Sans" w:cs="Noto Sans"/>
          <w:i/>
          <w:iCs/>
          <w:szCs w:val="18"/>
        </w:rPr>
        <w:t>Gozalo</w:t>
      </w:r>
      <w:proofErr w:type="spellEnd"/>
      <w:r w:rsidRPr="00C14E50">
        <w:rPr>
          <w:rFonts w:ascii="Noto Sans" w:hAnsi="Noto Sans" w:cs="Noto Sans"/>
          <w:i/>
          <w:iCs/>
          <w:szCs w:val="18"/>
        </w:rPr>
        <w:t xml:space="preserve">, B., Ochoa, V., Guirado, E., García-Gómez, M., Valencia, E., Asensio, S., </w:t>
      </w:r>
      <w:proofErr w:type="spellStart"/>
      <w:r w:rsidRPr="00C14E50">
        <w:rPr>
          <w:rFonts w:ascii="Noto Sans" w:hAnsi="Noto Sans" w:cs="Noto Sans"/>
          <w:i/>
          <w:iCs/>
          <w:szCs w:val="18"/>
        </w:rPr>
        <w:t>Berdugo</w:t>
      </w:r>
      <w:proofErr w:type="spellEnd"/>
      <w:r w:rsidRPr="00C14E50">
        <w:rPr>
          <w:rFonts w:ascii="Noto Sans" w:hAnsi="Noto Sans" w:cs="Noto Sans"/>
          <w:i/>
          <w:iCs/>
          <w:szCs w:val="18"/>
        </w:rPr>
        <w:t xml:space="preserve">, M., Martínez-Valderrama, J., Mendoza, B. J., García-Gil, J. C., </w:t>
      </w:r>
      <w:proofErr w:type="spellStart"/>
      <w:r w:rsidRPr="00C14E50">
        <w:rPr>
          <w:rFonts w:ascii="Noto Sans" w:hAnsi="Noto Sans" w:cs="Noto Sans"/>
          <w:i/>
          <w:iCs/>
          <w:szCs w:val="18"/>
        </w:rPr>
        <w:t>Zaccone</w:t>
      </w:r>
      <w:proofErr w:type="spellEnd"/>
      <w:r w:rsidRPr="00C14E50">
        <w:rPr>
          <w:rFonts w:ascii="Noto Sans" w:hAnsi="Noto Sans" w:cs="Noto Sans"/>
          <w:i/>
          <w:iCs/>
          <w:szCs w:val="18"/>
        </w:rPr>
        <w:t xml:space="preserve">, C., … </w:t>
      </w:r>
      <w:r w:rsidRPr="001D4B36">
        <w:rPr>
          <w:rFonts w:ascii="Noto Sans" w:hAnsi="Noto Sans" w:cs="Noto Sans"/>
          <w:b/>
          <w:bCs/>
          <w:i/>
          <w:iCs/>
          <w:szCs w:val="18"/>
          <w:lang w:val="en-US"/>
        </w:rPr>
        <w:t>Reyes-Gómez, V</w:t>
      </w:r>
      <w:r w:rsidRPr="001D4B36">
        <w:rPr>
          <w:rFonts w:ascii="Noto Sans" w:hAnsi="Noto Sans" w:cs="Noto Sans"/>
          <w:i/>
          <w:iCs/>
          <w:szCs w:val="18"/>
          <w:lang w:val="en-US"/>
        </w:rPr>
        <w:t xml:space="preserve">, ... Plaza, C. (2024). Vulnerability of mineral-associated soil organic carbon to climate across global drylands. </w:t>
      </w:r>
      <w:proofErr w:type="spellStart"/>
      <w:r w:rsidRPr="001D4B36">
        <w:rPr>
          <w:rFonts w:ascii="Noto Sans" w:hAnsi="Noto Sans" w:cs="Noto Sans"/>
          <w:i/>
          <w:iCs/>
          <w:szCs w:val="18"/>
        </w:rPr>
        <w:t>Nature</w:t>
      </w:r>
      <w:proofErr w:type="spellEnd"/>
      <w:r w:rsidRPr="001D4B36">
        <w:rPr>
          <w:rFonts w:ascii="Noto Sans" w:hAnsi="Noto Sans" w:cs="Noto Sans"/>
          <w:i/>
          <w:iCs/>
          <w:szCs w:val="18"/>
        </w:rPr>
        <w:t xml:space="preserve"> </w:t>
      </w:r>
      <w:proofErr w:type="spellStart"/>
      <w:r w:rsidRPr="001D4B36">
        <w:rPr>
          <w:rFonts w:ascii="Noto Sans" w:hAnsi="Noto Sans" w:cs="Noto Sans"/>
          <w:i/>
          <w:iCs/>
          <w:szCs w:val="18"/>
        </w:rPr>
        <w:t>Climate</w:t>
      </w:r>
      <w:proofErr w:type="spellEnd"/>
      <w:r w:rsidRPr="001D4B36">
        <w:rPr>
          <w:rFonts w:ascii="Noto Sans" w:hAnsi="Noto Sans" w:cs="Noto Sans"/>
          <w:i/>
          <w:iCs/>
          <w:szCs w:val="18"/>
        </w:rPr>
        <w:t xml:space="preserve"> Change, 14(9), 976–982. https://doi.org/10.1038/s41558-024-02087-y. FI 30.3.</w:t>
      </w:r>
    </w:p>
    <w:p w14:paraId="35626257" w14:textId="77777777" w:rsidR="00624EE5" w:rsidRPr="001D4B36" w:rsidRDefault="00624EE5" w:rsidP="00C14E50">
      <w:pPr>
        <w:pStyle w:val="Contenido1"/>
      </w:pPr>
      <w:r w:rsidRPr="001D4B36">
        <w:t xml:space="preserve">Las instituciones con las que más colabora el INECOL son: Universidad Nacional Autónoma de México (UNAM), Universidad Veracruzana (UV), Universidad de Guadalajara (UdeG), El Colegio de la Frontera Sur (ECOSUR), el Instituto Politécnico Nacional (IPN) y con diferentes Centros Públicos, sus Investigadoras e Investigadores por México y las Direcciones Regionales del CONAHCYT. La vinculación institucional del INECOL con universidades nacionales e internacionales, los gobiernos y fuentes financieras se sostuvo en la promoción de sus resultados de investigación, docencia e incidencia social. </w:t>
      </w:r>
    </w:p>
    <w:p w14:paraId="39FAAFCA" w14:textId="77777777" w:rsidR="00B7642F" w:rsidRPr="001D4B36" w:rsidRDefault="00B7642F" w:rsidP="00C14E50">
      <w:pPr>
        <w:pStyle w:val="Contenido1"/>
      </w:pPr>
      <w:r w:rsidRPr="001D4B36">
        <w:t>Con respecto a convenios de colaboración en 2024 se realizaron 4 con instituciones de Gobierno y 8 con instituciones educativas (divididos en 11 nacionales y 1 internacional).</w:t>
      </w:r>
    </w:p>
    <w:p w14:paraId="1BBA0A6B" w14:textId="5D55BB64" w:rsidR="00B7642F" w:rsidRPr="001D4B36" w:rsidRDefault="00B7642F" w:rsidP="00C14E50">
      <w:pPr>
        <w:pStyle w:val="Contenido1"/>
        <w:rPr>
          <w:rStyle w:val="normaltextrun"/>
          <w:rFonts w:cs="Noto Sans"/>
          <w:szCs w:val="20"/>
        </w:rPr>
      </w:pPr>
      <w:r w:rsidRPr="001D4B36">
        <w:rPr>
          <w:rStyle w:val="normaltextrun"/>
          <w:rFonts w:cs="Noto Sans"/>
          <w:szCs w:val="20"/>
        </w:rPr>
        <w:lastRenderedPageBreak/>
        <w:t>Para 2024 El Inecol cuenta con 83 laboratorios</w:t>
      </w:r>
      <w:r w:rsidR="00624EE5" w:rsidRPr="001D4B36">
        <w:rPr>
          <w:rStyle w:val="normaltextrun"/>
          <w:rFonts w:cs="Noto Sans"/>
          <w:szCs w:val="20"/>
        </w:rPr>
        <w:t xml:space="preserve">, </w:t>
      </w:r>
      <w:r w:rsidRPr="001D4B36">
        <w:rPr>
          <w:rStyle w:val="normaltextrun"/>
          <w:rFonts w:cs="Noto Sans"/>
          <w:szCs w:val="20"/>
        </w:rPr>
        <w:t xml:space="preserve">cuatro de los cuales se encuentran a cargo de la Secretaría Técnica: Laboratorio de Análisis </w:t>
      </w:r>
      <w:r w:rsidRPr="00C14E50">
        <w:rPr>
          <w:rStyle w:val="normaltextrun"/>
        </w:rPr>
        <w:t>de</w:t>
      </w:r>
      <w:r w:rsidRPr="001D4B36">
        <w:rPr>
          <w:rStyle w:val="normaltextrun"/>
          <w:rFonts w:cs="Noto Sans"/>
          <w:szCs w:val="20"/>
        </w:rPr>
        <w:t xml:space="preserve"> Suelos, Agua y Plantas, Laboratorio de Pruebas de Madera, Laboratorio del Microscopio Electrónico de Barrido y Laboratorio de Secuenciación de ADN. La Secretaría de Posgrado está a cargo de uno, la Dirección General de dos y el resto (76) están bajo la responsabilidad de los investigadores del INECOL</w:t>
      </w:r>
      <w:r w:rsidR="00624EE5" w:rsidRPr="001D4B36">
        <w:rPr>
          <w:rStyle w:val="normaltextrun"/>
          <w:rFonts w:cs="Noto Sans"/>
          <w:szCs w:val="20"/>
        </w:rPr>
        <w:t xml:space="preserve">. La </w:t>
      </w:r>
      <w:r w:rsidR="00624EE5" w:rsidRPr="001D4B36">
        <w:rPr>
          <w:rStyle w:val="normaltextrun"/>
          <w:rFonts w:cs="Noto Sans"/>
          <w:i/>
          <w:iCs/>
          <w:szCs w:val="20"/>
        </w:rPr>
        <w:t>Secretaría Técnica</w:t>
      </w:r>
      <w:r w:rsidR="00624EE5" w:rsidRPr="001D4B36">
        <w:rPr>
          <w:rStyle w:val="normaltextrun"/>
          <w:rFonts w:cs="Noto Sans"/>
          <w:szCs w:val="20"/>
        </w:rPr>
        <w:t xml:space="preserve"> atendió necesidades de inversión para apoyar el mantenimiento y compra de equipo de laboratorio y colecciones; así como el mantenimiento de la infraestructura y telecomunicaciones en las estaciones de campo.</w:t>
      </w:r>
    </w:p>
    <w:p w14:paraId="5089A41A" w14:textId="77777777" w:rsidR="00B7642F" w:rsidRPr="001D4B36" w:rsidRDefault="00B7642F" w:rsidP="00B7642F">
      <w:pPr>
        <w:rPr>
          <w:rStyle w:val="normaltextrun"/>
          <w:rFonts w:ascii="Noto Sans" w:hAnsi="Noto Sans" w:cs="Noto Sans"/>
          <w:sz w:val="20"/>
          <w:szCs w:val="20"/>
        </w:rPr>
      </w:pPr>
    </w:p>
    <w:p w14:paraId="554C3739" w14:textId="4B2E76A0" w:rsidR="006F7F68" w:rsidRPr="001D4B36" w:rsidRDefault="006F7F68" w:rsidP="00B7642F">
      <w:pPr>
        <w:rPr>
          <w:rFonts w:ascii="Noto Sans" w:eastAsia="Times New Roman" w:hAnsi="Noto Sans" w:cs="Noto Sans"/>
          <w:b/>
          <w:bCs/>
          <w:sz w:val="20"/>
          <w:szCs w:val="20"/>
          <w:lang w:eastAsia="es-MX"/>
        </w:rPr>
      </w:pPr>
      <w:r w:rsidRPr="001D4B36">
        <w:rPr>
          <w:rFonts w:ascii="Noto Sans" w:eastAsia="Times New Roman" w:hAnsi="Noto Sans" w:cs="Noto Sans"/>
          <w:b/>
          <w:bCs/>
          <w:sz w:val="20"/>
          <w:szCs w:val="20"/>
          <w:lang w:eastAsia="es-MX"/>
        </w:rPr>
        <w:br w:type="page"/>
      </w:r>
    </w:p>
    <w:p w14:paraId="67EF7C17" w14:textId="77777777" w:rsidR="006F7F68" w:rsidRPr="001D4B36" w:rsidRDefault="006F7F68" w:rsidP="00C14E50">
      <w:pPr>
        <w:pStyle w:val="Negritas"/>
        <w:rPr>
          <w:lang w:eastAsia="es-MX"/>
        </w:rPr>
      </w:pPr>
      <w:r w:rsidRPr="001D4B36">
        <w:rPr>
          <w:lang w:eastAsia="es-MX"/>
        </w:rPr>
        <w:lastRenderedPageBreak/>
        <w:t>ANEXO 1.</w:t>
      </w:r>
    </w:p>
    <w:tbl>
      <w:tblPr>
        <w:tblpPr w:leftFromText="141" w:rightFromText="141" w:vertAnchor="text" w:horzAnchor="margin" w:tblpY="306"/>
        <w:tblW w:w="9321" w:type="dxa"/>
        <w:tblCellMar>
          <w:left w:w="70" w:type="dxa"/>
          <w:right w:w="70" w:type="dxa"/>
        </w:tblCellMar>
        <w:tblLook w:val="04A0" w:firstRow="1" w:lastRow="0" w:firstColumn="1" w:lastColumn="0" w:noHBand="0" w:noVBand="1"/>
      </w:tblPr>
      <w:tblGrid>
        <w:gridCol w:w="3680"/>
        <w:gridCol w:w="2836"/>
        <w:gridCol w:w="2805"/>
      </w:tblGrid>
      <w:tr w:rsidR="006F7F68" w:rsidRPr="00C14E50" w14:paraId="4E908623" w14:textId="77777777" w:rsidTr="007A473A">
        <w:trPr>
          <w:trHeight w:val="284"/>
        </w:trPr>
        <w:tc>
          <w:tcPr>
            <w:tcW w:w="9321" w:type="dxa"/>
            <w:gridSpan w:val="3"/>
            <w:tcBorders>
              <w:top w:val="single" w:sz="4" w:space="0" w:color="auto"/>
              <w:left w:val="single" w:sz="4" w:space="0" w:color="auto"/>
              <w:bottom w:val="single" w:sz="4" w:space="0" w:color="auto"/>
              <w:right w:val="single" w:sz="4" w:space="0" w:color="auto"/>
            </w:tcBorders>
            <w:shd w:val="clear" w:color="auto" w:fill="9E2A2C"/>
            <w:noWrap/>
            <w:vAlign w:val="bottom"/>
          </w:tcPr>
          <w:p w14:paraId="69787E41" w14:textId="77777777" w:rsidR="006F7F68" w:rsidRPr="00C14E50" w:rsidRDefault="006F7F68" w:rsidP="007A473A">
            <w:pPr>
              <w:spacing w:after="0"/>
              <w:jc w:val="center"/>
              <w:rPr>
                <w:rFonts w:ascii="Noto Sans" w:hAnsi="Noto Sans" w:cs="Noto Sans"/>
                <w:b/>
                <w:bCs/>
                <w:color w:val="FFFFFF" w:themeColor="background1"/>
                <w:sz w:val="20"/>
                <w:szCs w:val="20"/>
              </w:rPr>
            </w:pPr>
            <w:r w:rsidRPr="00C14E50">
              <w:rPr>
                <w:rFonts w:ascii="Noto Sans" w:hAnsi="Noto Sans" w:cs="Noto Sans"/>
                <w:b/>
                <w:bCs/>
                <w:color w:val="FFFFFF" w:themeColor="background1"/>
                <w:sz w:val="20"/>
                <w:szCs w:val="20"/>
                <w:lang w:val="es-ES"/>
              </w:rPr>
              <w:t xml:space="preserve">** RECURSO DE ADQUISICIÓN DE EQUIPO </w:t>
            </w:r>
          </w:p>
        </w:tc>
      </w:tr>
      <w:tr w:rsidR="006F7F68" w:rsidRPr="00C14E50" w14:paraId="317317D7" w14:textId="77777777" w:rsidTr="007A473A">
        <w:trPr>
          <w:trHeight w:val="284"/>
        </w:trPr>
        <w:tc>
          <w:tcPr>
            <w:tcW w:w="3680" w:type="dxa"/>
            <w:tcBorders>
              <w:top w:val="single" w:sz="4" w:space="0" w:color="auto"/>
              <w:left w:val="single" w:sz="4" w:space="0" w:color="auto"/>
              <w:bottom w:val="single" w:sz="4" w:space="0" w:color="auto"/>
              <w:right w:val="single" w:sz="4" w:space="0" w:color="auto"/>
            </w:tcBorders>
            <w:shd w:val="clear" w:color="auto" w:fill="9E2A2C"/>
            <w:noWrap/>
            <w:vAlign w:val="bottom"/>
            <w:hideMark/>
          </w:tcPr>
          <w:p w14:paraId="1976D697" w14:textId="77777777" w:rsidR="006F7F68" w:rsidRPr="00C14E50" w:rsidRDefault="006F7F68" w:rsidP="007A473A">
            <w:pPr>
              <w:spacing w:after="0"/>
              <w:jc w:val="center"/>
              <w:rPr>
                <w:rFonts w:ascii="Noto Sans" w:hAnsi="Noto Sans" w:cs="Noto Sans"/>
                <w:b/>
                <w:bCs/>
                <w:color w:val="FFFFFF" w:themeColor="background1"/>
                <w:sz w:val="20"/>
                <w:szCs w:val="20"/>
              </w:rPr>
            </w:pPr>
            <w:r w:rsidRPr="00C14E50">
              <w:rPr>
                <w:rFonts w:ascii="Noto Sans" w:hAnsi="Noto Sans" w:cs="Noto Sans"/>
                <w:b/>
                <w:bCs/>
                <w:color w:val="FFFFFF" w:themeColor="background1"/>
                <w:sz w:val="20"/>
                <w:szCs w:val="20"/>
              </w:rPr>
              <w:t>RECURSOS</w:t>
            </w:r>
          </w:p>
        </w:tc>
        <w:tc>
          <w:tcPr>
            <w:tcW w:w="2836" w:type="dxa"/>
            <w:tcBorders>
              <w:top w:val="single" w:sz="4" w:space="0" w:color="auto"/>
              <w:left w:val="nil"/>
              <w:bottom w:val="single" w:sz="4" w:space="0" w:color="auto"/>
              <w:right w:val="single" w:sz="4" w:space="0" w:color="auto"/>
            </w:tcBorders>
            <w:shd w:val="clear" w:color="auto" w:fill="9E2A2C"/>
            <w:noWrap/>
            <w:vAlign w:val="bottom"/>
            <w:hideMark/>
          </w:tcPr>
          <w:p w14:paraId="7F132B94" w14:textId="77777777" w:rsidR="006F7F68" w:rsidRPr="00C14E50" w:rsidRDefault="006F7F68" w:rsidP="007A473A">
            <w:pPr>
              <w:spacing w:after="0"/>
              <w:jc w:val="center"/>
              <w:rPr>
                <w:rFonts w:ascii="Noto Sans" w:hAnsi="Noto Sans" w:cs="Noto Sans"/>
                <w:b/>
                <w:bCs/>
                <w:color w:val="FFFFFF" w:themeColor="background1"/>
                <w:sz w:val="20"/>
                <w:szCs w:val="20"/>
              </w:rPr>
            </w:pPr>
            <w:r w:rsidRPr="00C14E50">
              <w:rPr>
                <w:rFonts w:ascii="Noto Sans" w:hAnsi="Noto Sans" w:cs="Noto Sans"/>
                <w:b/>
                <w:bCs/>
                <w:color w:val="FFFFFF" w:themeColor="background1"/>
                <w:sz w:val="20"/>
                <w:szCs w:val="20"/>
              </w:rPr>
              <w:t>2019</w:t>
            </w:r>
          </w:p>
        </w:tc>
        <w:tc>
          <w:tcPr>
            <w:tcW w:w="2805" w:type="dxa"/>
            <w:tcBorders>
              <w:top w:val="single" w:sz="4" w:space="0" w:color="auto"/>
              <w:left w:val="nil"/>
              <w:bottom w:val="single" w:sz="4" w:space="0" w:color="auto"/>
              <w:right w:val="single" w:sz="4" w:space="0" w:color="auto"/>
            </w:tcBorders>
            <w:shd w:val="clear" w:color="auto" w:fill="9E2A2C"/>
            <w:noWrap/>
            <w:vAlign w:val="bottom"/>
            <w:hideMark/>
          </w:tcPr>
          <w:p w14:paraId="1D7BCCF8" w14:textId="77777777" w:rsidR="006F7F68" w:rsidRPr="00C14E50" w:rsidRDefault="006F7F68" w:rsidP="007A473A">
            <w:pPr>
              <w:spacing w:after="0"/>
              <w:jc w:val="center"/>
              <w:rPr>
                <w:rFonts w:ascii="Noto Sans" w:hAnsi="Noto Sans" w:cs="Noto Sans"/>
                <w:b/>
                <w:bCs/>
                <w:color w:val="FFFFFF" w:themeColor="background1"/>
                <w:sz w:val="20"/>
                <w:szCs w:val="20"/>
              </w:rPr>
            </w:pPr>
            <w:r w:rsidRPr="00C14E50">
              <w:rPr>
                <w:rFonts w:ascii="Noto Sans" w:hAnsi="Noto Sans" w:cs="Noto Sans"/>
                <w:b/>
                <w:bCs/>
                <w:color w:val="FFFFFF" w:themeColor="background1"/>
                <w:sz w:val="20"/>
                <w:szCs w:val="20"/>
              </w:rPr>
              <w:t>2024</w:t>
            </w:r>
          </w:p>
        </w:tc>
      </w:tr>
      <w:tr w:rsidR="006F7F68" w:rsidRPr="00C14E50" w14:paraId="62AFADF7" w14:textId="77777777" w:rsidTr="007A473A">
        <w:trPr>
          <w:trHeight w:val="284"/>
        </w:trPr>
        <w:tc>
          <w:tcPr>
            <w:tcW w:w="3680" w:type="dxa"/>
            <w:tcBorders>
              <w:top w:val="nil"/>
              <w:left w:val="single" w:sz="4" w:space="0" w:color="auto"/>
              <w:bottom w:val="single" w:sz="4" w:space="0" w:color="auto"/>
              <w:right w:val="single" w:sz="4" w:space="0" w:color="auto"/>
            </w:tcBorders>
            <w:shd w:val="clear" w:color="auto" w:fill="FFF2CC"/>
            <w:noWrap/>
            <w:vAlign w:val="bottom"/>
            <w:hideMark/>
          </w:tcPr>
          <w:p w14:paraId="27667377" w14:textId="77777777" w:rsidR="006F7F68" w:rsidRPr="00C14E50" w:rsidRDefault="006F7F68" w:rsidP="007A473A">
            <w:pPr>
              <w:spacing w:after="0"/>
              <w:jc w:val="center"/>
              <w:rPr>
                <w:rFonts w:ascii="Noto Sans" w:hAnsi="Noto Sans" w:cs="Noto Sans"/>
                <w:sz w:val="20"/>
                <w:szCs w:val="20"/>
              </w:rPr>
            </w:pPr>
            <w:r w:rsidRPr="00C14E50">
              <w:rPr>
                <w:rFonts w:ascii="Noto Sans" w:hAnsi="Noto Sans" w:cs="Noto Sans"/>
                <w:sz w:val="20"/>
                <w:szCs w:val="20"/>
              </w:rPr>
              <w:t xml:space="preserve">PROPIOS </w:t>
            </w:r>
          </w:p>
        </w:tc>
        <w:tc>
          <w:tcPr>
            <w:tcW w:w="2836" w:type="dxa"/>
            <w:tcBorders>
              <w:top w:val="nil"/>
              <w:left w:val="nil"/>
              <w:bottom w:val="single" w:sz="4" w:space="0" w:color="auto"/>
              <w:right w:val="single" w:sz="4" w:space="0" w:color="auto"/>
            </w:tcBorders>
            <w:shd w:val="clear" w:color="auto" w:fill="FFF2CC"/>
            <w:noWrap/>
            <w:vAlign w:val="bottom"/>
            <w:hideMark/>
          </w:tcPr>
          <w:p w14:paraId="20686656" w14:textId="2F070D78" w:rsidR="006F7F68" w:rsidRPr="00C14E50" w:rsidRDefault="006F7F68" w:rsidP="007A473A">
            <w:pPr>
              <w:spacing w:after="0"/>
              <w:jc w:val="right"/>
              <w:rPr>
                <w:rFonts w:ascii="Noto Sans" w:hAnsi="Noto Sans" w:cs="Noto Sans"/>
                <w:sz w:val="20"/>
                <w:szCs w:val="20"/>
              </w:rPr>
            </w:pPr>
            <w:r w:rsidRPr="00C14E50">
              <w:rPr>
                <w:rFonts w:ascii="Noto Sans" w:hAnsi="Noto Sans" w:cs="Noto Sans"/>
                <w:sz w:val="20"/>
                <w:szCs w:val="20"/>
              </w:rPr>
              <w:t xml:space="preserve"> $      </w:t>
            </w:r>
            <w:r w:rsidR="00A70DFB" w:rsidRPr="00C14E50">
              <w:rPr>
                <w:rFonts w:ascii="Noto Sans" w:hAnsi="Noto Sans" w:cs="Noto Sans"/>
                <w:sz w:val="20"/>
                <w:szCs w:val="20"/>
              </w:rPr>
              <w:t xml:space="preserve">                    </w:t>
            </w:r>
            <w:r w:rsidRPr="00C14E50">
              <w:rPr>
                <w:rFonts w:ascii="Noto Sans" w:hAnsi="Noto Sans" w:cs="Noto Sans"/>
                <w:sz w:val="20"/>
                <w:szCs w:val="20"/>
              </w:rPr>
              <w:t xml:space="preserve">         0.00  </w:t>
            </w:r>
          </w:p>
        </w:tc>
        <w:tc>
          <w:tcPr>
            <w:tcW w:w="2805" w:type="dxa"/>
            <w:tcBorders>
              <w:top w:val="nil"/>
              <w:left w:val="nil"/>
              <w:bottom w:val="single" w:sz="4" w:space="0" w:color="auto"/>
              <w:right w:val="single" w:sz="4" w:space="0" w:color="auto"/>
            </w:tcBorders>
            <w:shd w:val="clear" w:color="auto" w:fill="FFF2CC"/>
            <w:noWrap/>
            <w:vAlign w:val="bottom"/>
            <w:hideMark/>
          </w:tcPr>
          <w:p w14:paraId="602ABD5E" w14:textId="4795301A" w:rsidR="006F7F68" w:rsidRPr="00C14E50" w:rsidRDefault="006F7F68" w:rsidP="007A473A">
            <w:pPr>
              <w:spacing w:after="0"/>
              <w:jc w:val="right"/>
              <w:rPr>
                <w:rFonts w:ascii="Noto Sans" w:hAnsi="Noto Sans" w:cs="Noto Sans"/>
                <w:sz w:val="20"/>
                <w:szCs w:val="20"/>
              </w:rPr>
            </w:pPr>
            <w:r w:rsidRPr="00C14E50">
              <w:rPr>
                <w:rFonts w:ascii="Noto Sans" w:hAnsi="Noto Sans" w:cs="Noto Sans"/>
                <w:sz w:val="20"/>
                <w:szCs w:val="20"/>
              </w:rPr>
              <w:t xml:space="preserve"> $         </w:t>
            </w:r>
            <w:r w:rsidR="00A70DFB" w:rsidRPr="00C14E50">
              <w:rPr>
                <w:rFonts w:ascii="Noto Sans" w:hAnsi="Noto Sans" w:cs="Noto Sans"/>
                <w:sz w:val="20"/>
                <w:szCs w:val="20"/>
              </w:rPr>
              <w:t xml:space="preserve">            </w:t>
            </w:r>
            <w:r w:rsidRPr="00C14E50">
              <w:rPr>
                <w:rFonts w:ascii="Noto Sans" w:hAnsi="Noto Sans" w:cs="Noto Sans"/>
                <w:sz w:val="20"/>
                <w:szCs w:val="20"/>
              </w:rPr>
              <w:t xml:space="preserve">  </w:t>
            </w:r>
            <w:r w:rsidR="00A70DFB" w:rsidRPr="00C14E50">
              <w:rPr>
                <w:rFonts w:ascii="Noto Sans" w:hAnsi="Noto Sans" w:cs="Noto Sans"/>
                <w:sz w:val="20"/>
                <w:szCs w:val="20"/>
              </w:rPr>
              <w:t>508,461.18</w:t>
            </w:r>
            <w:r w:rsidRPr="00C14E50">
              <w:rPr>
                <w:rFonts w:ascii="Noto Sans" w:hAnsi="Noto Sans" w:cs="Noto Sans"/>
                <w:sz w:val="20"/>
                <w:szCs w:val="20"/>
              </w:rPr>
              <w:t xml:space="preserve"> </w:t>
            </w:r>
          </w:p>
        </w:tc>
      </w:tr>
      <w:tr w:rsidR="006F7F68" w:rsidRPr="00C14E50" w14:paraId="6E498F91" w14:textId="77777777" w:rsidTr="007A473A">
        <w:trPr>
          <w:trHeight w:val="284"/>
        </w:trPr>
        <w:tc>
          <w:tcPr>
            <w:tcW w:w="3680" w:type="dxa"/>
            <w:tcBorders>
              <w:top w:val="nil"/>
              <w:left w:val="single" w:sz="4" w:space="0" w:color="auto"/>
              <w:bottom w:val="single" w:sz="4" w:space="0" w:color="auto"/>
              <w:right w:val="single" w:sz="4" w:space="0" w:color="auto"/>
            </w:tcBorders>
            <w:shd w:val="clear" w:color="auto" w:fill="FFF2CC"/>
            <w:noWrap/>
            <w:vAlign w:val="bottom"/>
            <w:hideMark/>
          </w:tcPr>
          <w:p w14:paraId="08B1CF60" w14:textId="77777777" w:rsidR="006F7F68" w:rsidRPr="00C14E50" w:rsidRDefault="006F7F68" w:rsidP="007A473A">
            <w:pPr>
              <w:spacing w:after="0"/>
              <w:jc w:val="center"/>
              <w:rPr>
                <w:rFonts w:ascii="Noto Sans" w:hAnsi="Noto Sans" w:cs="Noto Sans"/>
                <w:sz w:val="20"/>
                <w:szCs w:val="20"/>
              </w:rPr>
            </w:pPr>
            <w:r w:rsidRPr="00C14E50">
              <w:rPr>
                <w:rFonts w:ascii="Noto Sans" w:hAnsi="Noto Sans" w:cs="Noto Sans"/>
                <w:sz w:val="20"/>
                <w:szCs w:val="20"/>
              </w:rPr>
              <w:t>FISCALES</w:t>
            </w:r>
          </w:p>
        </w:tc>
        <w:tc>
          <w:tcPr>
            <w:tcW w:w="2836" w:type="dxa"/>
            <w:tcBorders>
              <w:top w:val="nil"/>
              <w:left w:val="nil"/>
              <w:bottom w:val="single" w:sz="4" w:space="0" w:color="auto"/>
              <w:right w:val="single" w:sz="4" w:space="0" w:color="auto"/>
            </w:tcBorders>
            <w:shd w:val="clear" w:color="auto" w:fill="FFF2CC"/>
            <w:noWrap/>
            <w:vAlign w:val="bottom"/>
            <w:hideMark/>
          </w:tcPr>
          <w:p w14:paraId="286D45E8" w14:textId="7CF2D30B" w:rsidR="006F7F68" w:rsidRPr="00C14E50" w:rsidRDefault="006F7F68" w:rsidP="007A473A">
            <w:pPr>
              <w:spacing w:after="0"/>
              <w:jc w:val="right"/>
              <w:rPr>
                <w:rFonts w:ascii="Noto Sans" w:hAnsi="Noto Sans" w:cs="Noto Sans"/>
                <w:sz w:val="20"/>
                <w:szCs w:val="20"/>
              </w:rPr>
            </w:pPr>
            <w:r w:rsidRPr="00C14E50">
              <w:rPr>
                <w:rFonts w:ascii="Noto Sans" w:hAnsi="Noto Sans" w:cs="Noto Sans"/>
                <w:sz w:val="20"/>
                <w:szCs w:val="20"/>
              </w:rPr>
              <w:t xml:space="preserve"> </w:t>
            </w:r>
            <w:r w:rsidR="00A70DFB" w:rsidRPr="00C14E50">
              <w:rPr>
                <w:rFonts w:ascii="Noto Sans" w:hAnsi="Noto Sans" w:cs="Noto Sans"/>
                <w:sz w:val="20"/>
                <w:szCs w:val="20"/>
              </w:rPr>
              <w:t xml:space="preserve">       </w:t>
            </w:r>
            <w:r w:rsidRPr="00C14E50">
              <w:rPr>
                <w:rFonts w:ascii="Noto Sans" w:hAnsi="Noto Sans" w:cs="Noto Sans"/>
                <w:sz w:val="20"/>
                <w:szCs w:val="20"/>
              </w:rPr>
              <w:t xml:space="preserve">      0.00</w:t>
            </w:r>
          </w:p>
        </w:tc>
        <w:tc>
          <w:tcPr>
            <w:tcW w:w="2805" w:type="dxa"/>
            <w:tcBorders>
              <w:top w:val="nil"/>
              <w:left w:val="nil"/>
              <w:bottom w:val="single" w:sz="4" w:space="0" w:color="auto"/>
              <w:right w:val="single" w:sz="4" w:space="0" w:color="auto"/>
            </w:tcBorders>
            <w:shd w:val="clear" w:color="auto" w:fill="FFF2CC"/>
            <w:noWrap/>
            <w:vAlign w:val="bottom"/>
            <w:hideMark/>
          </w:tcPr>
          <w:p w14:paraId="031F9952" w14:textId="349E8418" w:rsidR="006F7F68" w:rsidRPr="00C14E50" w:rsidRDefault="006F7F68" w:rsidP="007A473A">
            <w:pPr>
              <w:spacing w:after="0"/>
              <w:jc w:val="right"/>
              <w:rPr>
                <w:rFonts w:ascii="Noto Sans" w:hAnsi="Noto Sans" w:cs="Noto Sans"/>
                <w:sz w:val="20"/>
                <w:szCs w:val="20"/>
              </w:rPr>
            </w:pPr>
            <w:r w:rsidRPr="00C14E50">
              <w:rPr>
                <w:rFonts w:ascii="Noto Sans" w:hAnsi="Noto Sans" w:cs="Noto Sans"/>
                <w:sz w:val="20"/>
                <w:szCs w:val="20"/>
              </w:rPr>
              <w:t xml:space="preserve">                    0.00   </w:t>
            </w:r>
          </w:p>
        </w:tc>
      </w:tr>
      <w:tr w:rsidR="006F7F68" w:rsidRPr="00C14E50" w14:paraId="4CD73141" w14:textId="77777777" w:rsidTr="007A473A">
        <w:trPr>
          <w:trHeight w:val="284"/>
        </w:trPr>
        <w:tc>
          <w:tcPr>
            <w:tcW w:w="3680" w:type="dxa"/>
            <w:tcBorders>
              <w:top w:val="nil"/>
              <w:left w:val="single" w:sz="4" w:space="0" w:color="auto"/>
              <w:bottom w:val="single" w:sz="4" w:space="0" w:color="auto"/>
              <w:right w:val="single" w:sz="4" w:space="0" w:color="auto"/>
            </w:tcBorders>
            <w:shd w:val="clear" w:color="auto" w:fill="FFF2CC"/>
            <w:noWrap/>
            <w:vAlign w:val="bottom"/>
            <w:hideMark/>
          </w:tcPr>
          <w:p w14:paraId="17159109" w14:textId="77777777" w:rsidR="006F7F68" w:rsidRPr="00C14E50" w:rsidRDefault="006F7F68" w:rsidP="007A473A">
            <w:pPr>
              <w:spacing w:after="0"/>
              <w:jc w:val="center"/>
              <w:rPr>
                <w:rFonts w:ascii="Noto Sans" w:hAnsi="Noto Sans" w:cs="Noto Sans"/>
                <w:sz w:val="20"/>
                <w:szCs w:val="20"/>
              </w:rPr>
            </w:pPr>
            <w:r w:rsidRPr="00C14E50">
              <w:rPr>
                <w:rFonts w:ascii="Noto Sans" w:hAnsi="Noto Sans" w:cs="Noto Sans"/>
                <w:sz w:val="20"/>
                <w:szCs w:val="20"/>
              </w:rPr>
              <w:t>RECURSOS DE FIDEICOMISO</w:t>
            </w:r>
          </w:p>
        </w:tc>
        <w:tc>
          <w:tcPr>
            <w:tcW w:w="2836" w:type="dxa"/>
            <w:tcBorders>
              <w:top w:val="nil"/>
              <w:left w:val="nil"/>
              <w:bottom w:val="single" w:sz="4" w:space="0" w:color="auto"/>
              <w:right w:val="single" w:sz="4" w:space="0" w:color="auto"/>
            </w:tcBorders>
            <w:shd w:val="clear" w:color="auto" w:fill="FFF2CC"/>
            <w:noWrap/>
            <w:vAlign w:val="bottom"/>
            <w:hideMark/>
          </w:tcPr>
          <w:p w14:paraId="3169CB48" w14:textId="3D8C5877" w:rsidR="006F7F68" w:rsidRPr="00C14E50" w:rsidRDefault="006F7F68" w:rsidP="007A473A">
            <w:pPr>
              <w:spacing w:after="0"/>
              <w:jc w:val="right"/>
              <w:rPr>
                <w:rFonts w:ascii="Noto Sans" w:hAnsi="Noto Sans" w:cs="Noto Sans"/>
                <w:sz w:val="20"/>
                <w:szCs w:val="20"/>
              </w:rPr>
            </w:pPr>
            <w:r w:rsidRPr="00C14E50">
              <w:rPr>
                <w:rFonts w:ascii="Noto Sans" w:hAnsi="Noto Sans" w:cs="Noto Sans"/>
                <w:sz w:val="20"/>
                <w:szCs w:val="20"/>
              </w:rPr>
              <w:t xml:space="preserve">  1,157,201.98 </w:t>
            </w:r>
          </w:p>
        </w:tc>
        <w:tc>
          <w:tcPr>
            <w:tcW w:w="2805" w:type="dxa"/>
            <w:tcBorders>
              <w:top w:val="nil"/>
              <w:left w:val="nil"/>
              <w:bottom w:val="single" w:sz="4" w:space="0" w:color="auto"/>
              <w:right w:val="single" w:sz="4" w:space="0" w:color="auto"/>
            </w:tcBorders>
            <w:shd w:val="clear" w:color="auto" w:fill="FFF2CC"/>
            <w:noWrap/>
            <w:vAlign w:val="bottom"/>
            <w:hideMark/>
          </w:tcPr>
          <w:p w14:paraId="42A847CC" w14:textId="1CB3B11E" w:rsidR="006F7F68" w:rsidRPr="00C14E50" w:rsidRDefault="006F7F68" w:rsidP="007A473A">
            <w:pPr>
              <w:spacing w:after="0"/>
              <w:jc w:val="right"/>
              <w:rPr>
                <w:rFonts w:ascii="Noto Sans" w:hAnsi="Noto Sans" w:cs="Noto Sans"/>
                <w:sz w:val="20"/>
                <w:szCs w:val="20"/>
              </w:rPr>
            </w:pPr>
            <w:r w:rsidRPr="00C14E50">
              <w:rPr>
                <w:rFonts w:ascii="Noto Sans" w:hAnsi="Noto Sans" w:cs="Noto Sans"/>
                <w:sz w:val="20"/>
                <w:szCs w:val="20"/>
              </w:rPr>
              <w:t xml:space="preserve">                 0.00   </w:t>
            </w:r>
          </w:p>
        </w:tc>
      </w:tr>
      <w:tr w:rsidR="006F7F68" w:rsidRPr="00C14E50" w14:paraId="1B46DFEA" w14:textId="77777777" w:rsidTr="007A473A">
        <w:trPr>
          <w:trHeight w:val="284"/>
        </w:trPr>
        <w:tc>
          <w:tcPr>
            <w:tcW w:w="3680" w:type="dxa"/>
            <w:tcBorders>
              <w:top w:val="nil"/>
              <w:left w:val="single" w:sz="4" w:space="0" w:color="auto"/>
              <w:bottom w:val="single" w:sz="4" w:space="0" w:color="auto"/>
              <w:right w:val="single" w:sz="4" w:space="0" w:color="auto"/>
            </w:tcBorders>
            <w:shd w:val="clear" w:color="auto" w:fill="FFF2CC"/>
            <w:noWrap/>
            <w:vAlign w:val="bottom"/>
            <w:hideMark/>
          </w:tcPr>
          <w:p w14:paraId="768963C6" w14:textId="77777777" w:rsidR="006F7F68" w:rsidRPr="00C14E50" w:rsidRDefault="006F7F68" w:rsidP="007A473A">
            <w:pPr>
              <w:spacing w:after="0"/>
              <w:jc w:val="center"/>
              <w:rPr>
                <w:rFonts w:ascii="Noto Sans" w:hAnsi="Noto Sans" w:cs="Noto Sans"/>
                <w:sz w:val="20"/>
                <w:szCs w:val="20"/>
              </w:rPr>
            </w:pPr>
            <w:r w:rsidRPr="00C14E50">
              <w:rPr>
                <w:rFonts w:ascii="Noto Sans" w:hAnsi="Noto Sans" w:cs="Noto Sans"/>
                <w:sz w:val="20"/>
                <w:szCs w:val="20"/>
              </w:rPr>
              <w:t>FONDOS EN ADMINISTRACIÓN</w:t>
            </w:r>
          </w:p>
        </w:tc>
        <w:tc>
          <w:tcPr>
            <w:tcW w:w="2836" w:type="dxa"/>
            <w:tcBorders>
              <w:top w:val="nil"/>
              <w:left w:val="nil"/>
              <w:bottom w:val="single" w:sz="4" w:space="0" w:color="auto"/>
              <w:right w:val="single" w:sz="4" w:space="0" w:color="auto"/>
            </w:tcBorders>
            <w:shd w:val="clear" w:color="auto" w:fill="FFF2CC"/>
            <w:noWrap/>
            <w:vAlign w:val="bottom"/>
            <w:hideMark/>
          </w:tcPr>
          <w:p w14:paraId="0FC5A8FB" w14:textId="1924C890" w:rsidR="006F7F68" w:rsidRPr="00C14E50" w:rsidRDefault="006F7F68" w:rsidP="007A473A">
            <w:pPr>
              <w:spacing w:after="0"/>
              <w:jc w:val="right"/>
              <w:rPr>
                <w:rFonts w:ascii="Noto Sans" w:hAnsi="Noto Sans" w:cs="Noto Sans"/>
                <w:sz w:val="20"/>
                <w:szCs w:val="20"/>
              </w:rPr>
            </w:pPr>
            <w:r w:rsidRPr="00C14E50">
              <w:rPr>
                <w:rFonts w:ascii="Noto Sans" w:hAnsi="Noto Sans" w:cs="Noto Sans"/>
                <w:sz w:val="20"/>
                <w:szCs w:val="20"/>
              </w:rPr>
              <w:t xml:space="preserve"> 16,567,868.76 </w:t>
            </w:r>
          </w:p>
        </w:tc>
        <w:tc>
          <w:tcPr>
            <w:tcW w:w="2805" w:type="dxa"/>
            <w:tcBorders>
              <w:top w:val="nil"/>
              <w:left w:val="nil"/>
              <w:bottom w:val="single" w:sz="4" w:space="0" w:color="auto"/>
              <w:right w:val="single" w:sz="4" w:space="0" w:color="auto"/>
            </w:tcBorders>
            <w:shd w:val="clear" w:color="auto" w:fill="FFF2CC"/>
            <w:noWrap/>
            <w:vAlign w:val="bottom"/>
            <w:hideMark/>
          </w:tcPr>
          <w:p w14:paraId="2CF05703" w14:textId="2C32DABC" w:rsidR="006F7F68" w:rsidRPr="00C14E50" w:rsidRDefault="006F7F68" w:rsidP="00A70DFB">
            <w:pPr>
              <w:spacing w:after="0"/>
              <w:jc w:val="right"/>
              <w:rPr>
                <w:rFonts w:ascii="Noto Sans" w:hAnsi="Noto Sans" w:cs="Noto Sans"/>
                <w:sz w:val="20"/>
                <w:szCs w:val="20"/>
              </w:rPr>
            </w:pPr>
            <w:r w:rsidRPr="00C14E50">
              <w:rPr>
                <w:rFonts w:ascii="Noto Sans" w:hAnsi="Noto Sans" w:cs="Noto Sans"/>
                <w:sz w:val="20"/>
                <w:szCs w:val="20"/>
              </w:rPr>
              <w:t xml:space="preserve">         </w:t>
            </w:r>
            <w:r w:rsidR="00A70DFB" w:rsidRPr="00C14E50">
              <w:rPr>
                <w:rFonts w:ascii="Noto Sans" w:hAnsi="Noto Sans" w:cs="Noto Sans"/>
                <w:sz w:val="20"/>
                <w:szCs w:val="20"/>
              </w:rPr>
              <w:t>2,780,599.75</w:t>
            </w:r>
            <w:r w:rsidRPr="00C14E50">
              <w:rPr>
                <w:rFonts w:ascii="Noto Sans" w:hAnsi="Noto Sans" w:cs="Noto Sans"/>
                <w:sz w:val="20"/>
                <w:szCs w:val="20"/>
              </w:rPr>
              <w:t xml:space="preserve"> </w:t>
            </w:r>
          </w:p>
        </w:tc>
      </w:tr>
      <w:tr w:rsidR="006F7F68" w:rsidRPr="00C14E50" w14:paraId="6C0E6585" w14:textId="77777777" w:rsidTr="007A473A">
        <w:trPr>
          <w:trHeight w:val="284"/>
        </w:trPr>
        <w:tc>
          <w:tcPr>
            <w:tcW w:w="3680" w:type="dxa"/>
            <w:tcBorders>
              <w:top w:val="nil"/>
              <w:left w:val="single" w:sz="4" w:space="0" w:color="auto"/>
              <w:bottom w:val="single" w:sz="4" w:space="0" w:color="auto"/>
              <w:right w:val="single" w:sz="4" w:space="0" w:color="auto"/>
            </w:tcBorders>
            <w:shd w:val="clear" w:color="auto" w:fill="FFF2CC"/>
            <w:noWrap/>
            <w:vAlign w:val="bottom"/>
            <w:hideMark/>
          </w:tcPr>
          <w:p w14:paraId="0908D4F9" w14:textId="77777777" w:rsidR="006F7F68" w:rsidRPr="00C14E50" w:rsidRDefault="006F7F68" w:rsidP="007A473A">
            <w:pPr>
              <w:spacing w:after="0"/>
              <w:jc w:val="center"/>
              <w:rPr>
                <w:rFonts w:ascii="Noto Sans" w:hAnsi="Noto Sans" w:cs="Noto Sans"/>
                <w:sz w:val="20"/>
                <w:szCs w:val="20"/>
              </w:rPr>
            </w:pPr>
            <w:r w:rsidRPr="00C14E50">
              <w:rPr>
                <w:rFonts w:ascii="Noto Sans" w:hAnsi="Noto Sans" w:cs="Noto Sans"/>
                <w:sz w:val="20"/>
                <w:szCs w:val="20"/>
              </w:rPr>
              <w:t>TOTAL</w:t>
            </w:r>
          </w:p>
        </w:tc>
        <w:tc>
          <w:tcPr>
            <w:tcW w:w="2836" w:type="dxa"/>
            <w:tcBorders>
              <w:top w:val="nil"/>
              <w:left w:val="nil"/>
              <w:bottom w:val="single" w:sz="4" w:space="0" w:color="auto"/>
              <w:right w:val="single" w:sz="4" w:space="0" w:color="auto"/>
            </w:tcBorders>
            <w:shd w:val="clear" w:color="auto" w:fill="FFF2CC"/>
            <w:noWrap/>
            <w:vAlign w:val="bottom"/>
            <w:hideMark/>
          </w:tcPr>
          <w:p w14:paraId="32DF1A71" w14:textId="332EF170" w:rsidR="006F7F68" w:rsidRPr="00C14E50" w:rsidRDefault="006F7F68" w:rsidP="007A473A">
            <w:pPr>
              <w:spacing w:after="0"/>
              <w:jc w:val="right"/>
              <w:rPr>
                <w:rFonts w:ascii="Noto Sans" w:hAnsi="Noto Sans" w:cs="Noto Sans"/>
                <w:sz w:val="20"/>
                <w:szCs w:val="20"/>
              </w:rPr>
            </w:pPr>
            <w:r w:rsidRPr="00C14E50">
              <w:rPr>
                <w:rFonts w:ascii="Noto Sans" w:hAnsi="Noto Sans" w:cs="Noto Sans"/>
                <w:sz w:val="20"/>
                <w:szCs w:val="20"/>
              </w:rPr>
              <w:t xml:space="preserve"> </w:t>
            </w:r>
            <w:r w:rsidR="00A70DFB" w:rsidRPr="00C14E50">
              <w:rPr>
                <w:rFonts w:ascii="Noto Sans" w:hAnsi="Noto Sans" w:cs="Noto Sans"/>
                <w:sz w:val="20"/>
                <w:szCs w:val="20"/>
              </w:rPr>
              <w:t xml:space="preserve"> 17,725,070.74</w:t>
            </w:r>
            <w:r w:rsidRPr="00C14E50">
              <w:rPr>
                <w:rFonts w:ascii="Noto Sans" w:hAnsi="Noto Sans" w:cs="Noto Sans"/>
                <w:sz w:val="20"/>
                <w:szCs w:val="20"/>
              </w:rPr>
              <w:t xml:space="preserve"> </w:t>
            </w:r>
          </w:p>
        </w:tc>
        <w:tc>
          <w:tcPr>
            <w:tcW w:w="2805" w:type="dxa"/>
            <w:tcBorders>
              <w:top w:val="nil"/>
              <w:left w:val="nil"/>
              <w:bottom w:val="single" w:sz="4" w:space="0" w:color="auto"/>
              <w:right w:val="single" w:sz="4" w:space="0" w:color="auto"/>
            </w:tcBorders>
            <w:shd w:val="clear" w:color="auto" w:fill="FFF2CC"/>
            <w:noWrap/>
            <w:vAlign w:val="bottom"/>
            <w:hideMark/>
          </w:tcPr>
          <w:p w14:paraId="34062D8E" w14:textId="2AF12736" w:rsidR="006F7F68" w:rsidRPr="00C14E50" w:rsidRDefault="006F7F68" w:rsidP="007A473A">
            <w:pPr>
              <w:spacing w:after="0"/>
              <w:jc w:val="right"/>
              <w:rPr>
                <w:rFonts w:ascii="Noto Sans" w:hAnsi="Noto Sans" w:cs="Noto Sans"/>
                <w:sz w:val="20"/>
                <w:szCs w:val="20"/>
              </w:rPr>
            </w:pPr>
            <w:r w:rsidRPr="00C14E50">
              <w:rPr>
                <w:rFonts w:ascii="Noto Sans" w:hAnsi="Noto Sans" w:cs="Noto Sans"/>
                <w:sz w:val="20"/>
                <w:szCs w:val="20"/>
              </w:rPr>
              <w:t xml:space="preserve">           </w:t>
            </w:r>
            <w:r w:rsidR="00A70DFB" w:rsidRPr="00C14E50">
              <w:rPr>
                <w:rFonts w:ascii="Noto Sans" w:hAnsi="Noto Sans" w:cs="Noto Sans"/>
                <w:sz w:val="20"/>
                <w:szCs w:val="20"/>
              </w:rPr>
              <w:t>3,289,060.93</w:t>
            </w:r>
            <w:r w:rsidRPr="00C14E50">
              <w:rPr>
                <w:rFonts w:ascii="Noto Sans" w:hAnsi="Noto Sans" w:cs="Noto Sans"/>
                <w:sz w:val="20"/>
                <w:szCs w:val="20"/>
              </w:rPr>
              <w:t xml:space="preserve"> </w:t>
            </w:r>
          </w:p>
        </w:tc>
      </w:tr>
    </w:tbl>
    <w:p w14:paraId="557F6EE5" w14:textId="77777777" w:rsidR="00E932D2" w:rsidRPr="001D4B36" w:rsidRDefault="00E932D2" w:rsidP="00A1262B">
      <w:pPr>
        <w:pStyle w:val="Contenido1"/>
        <w:rPr>
          <w:rFonts w:cs="Noto Sans"/>
          <w:szCs w:val="20"/>
          <w:lang w:val="en-US"/>
        </w:rPr>
      </w:pPr>
    </w:p>
    <w:p w14:paraId="683CB38B" w14:textId="77777777" w:rsidR="00BA32C7" w:rsidRPr="001D4B36" w:rsidRDefault="00BA32C7" w:rsidP="00BA32C7">
      <w:pPr>
        <w:rPr>
          <w:rFonts w:ascii="Noto Sans" w:hAnsi="Noto Sans" w:cs="Noto Sans"/>
          <w:sz w:val="20"/>
          <w:szCs w:val="20"/>
          <w:lang w:val="en-US"/>
        </w:rPr>
      </w:pPr>
    </w:p>
    <w:p w14:paraId="1FEF8ED5" w14:textId="77777777" w:rsidR="00BA32C7" w:rsidRPr="001D4B36" w:rsidRDefault="00BA32C7" w:rsidP="00BA32C7">
      <w:pPr>
        <w:rPr>
          <w:rFonts w:ascii="Noto Sans" w:hAnsi="Noto Sans" w:cs="Noto Sans"/>
          <w:sz w:val="20"/>
          <w:szCs w:val="20"/>
          <w:lang w:val="en-US"/>
        </w:rPr>
      </w:pPr>
    </w:p>
    <w:p w14:paraId="7CE8328D" w14:textId="77777777" w:rsidR="00BA32C7" w:rsidRPr="001D4B36" w:rsidRDefault="00BA32C7" w:rsidP="00BA32C7">
      <w:pPr>
        <w:rPr>
          <w:rFonts w:ascii="Noto Sans" w:hAnsi="Noto Sans" w:cs="Noto Sans"/>
          <w:sz w:val="20"/>
          <w:szCs w:val="20"/>
          <w:lang w:val="en-US"/>
        </w:rPr>
      </w:pPr>
    </w:p>
    <w:p w14:paraId="54AB0608" w14:textId="77777777" w:rsidR="00BA32C7" w:rsidRPr="001D4B36" w:rsidRDefault="00BA32C7" w:rsidP="00BA32C7">
      <w:pPr>
        <w:rPr>
          <w:rFonts w:ascii="Noto Sans" w:hAnsi="Noto Sans" w:cs="Noto Sans"/>
          <w:sz w:val="20"/>
          <w:szCs w:val="20"/>
          <w:lang w:val="en-US"/>
        </w:rPr>
      </w:pPr>
    </w:p>
    <w:p w14:paraId="3CEF80FD" w14:textId="77777777" w:rsidR="00BA32C7" w:rsidRPr="001D4B36" w:rsidRDefault="00BA32C7" w:rsidP="00BA32C7">
      <w:pPr>
        <w:rPr>
          <w:rFonts w:ascii="Noto Sans" w:hAnsi="Noto Sans" w:cs="Noto Sans"/>
          <w:sz w:val="20"/>
          <w:szCs w:val="20"/>
          <w:lang w:val="en-US"/>
        </w:rPr>
      </w:pPr>
    </w:p>
    <w:p w14:paraId="30A49C93" w14:textId="77777777" w:rsidR="00BA32C7" w:rsidRPr="001D4B36" w:rsidRDefault="00BA32C7" w:rsidP="00BA32C7">
      <w:pPr>
        <w:rPr>
          <w:rFonts w:ascii="Noto Sans" w:hAnsi="Noto Sans" w:cs="Noto Sans"/>
          <w:sz w:val="20"/>
          <w:szCs w:val="20"/>
          <w:lang w:val="en-US"/>
        </w:rPr>
      </w:pPr>
    </w:p>
    <w:p w14:paraId="4183CA55" w14:textId="77777777" w:rsidR="00BA32C7" w:rsidRPr="001D4B36" w:rsidRDefault="00BA32C7" w:rsidP="00BA32C7">
      <w:pPr>
        <w:rPr>
          <w:rFonts w:ascii="Noto Sans" w:hAnsi="Noto Sans" w:cs="Noto Sans"/>
          <w:sz w:val="20"/>
          <w:szCs w:val="20"/>
          <w:lang w:val="en-US"/>
        </w:rPr>
      </w:pPr>
    </w:p>
    <w:p w14:paraId="321FBED8" w14:textId="77777777" w:rsidR="00BA32C7" w:rsidRPr="001D4B36" w:rsidRDefault="00BA32C7" w:rsidP="00BA32C7">
      <w:pPr>
        <w:rPr>
          <w:rFonts w:ascii="Noto Sans" w:hAnsi="Noto Sans" w:cs="Noto Sans"/>
          <w:sz w:val="20"/>
          <w:szCs w:val="20"/>
          <w:lang w:val="en-US"/>
        </w:rPr>
      </w:pPr>
    </w:p>
    <w:p w14:paraId="3C95338B" w14:textId="77777777" w:rsidR="00BA32C7" w:rsidRPr="001D4B36" w:rsidRDefault="00BA32C7" w:rsidP="00BA32C7">
      <w:pPr>
        <w:rPr>
          <w:rFonts w:ascii="Noto Sans" w:hAnsi="Noto Sans" w:cs="Noto Sans"/>
          <w:sz w:val="20"/>
          <w:szCs w:val="20"/>
          <w:lang w:val="en-US"/>
        </w:rPr>
      </w:pPr>
    </w:p>
    <w:p w14:paraId="3C99A308" w14:textId="77777777" w:rsidR="00BA32C7" w:rsidRPr="001D4B36" w:rsidRDefault="00BA32C7" w:rsidP="00BA32C7">
      <w:pPr>
        <w:rPr>
          <w:rFonts w:ascii="Noto Sans" w:hAnsi="Noto Sans" w:cs="Noto Sans"/>
          <w:sz w:val="20"/>
          <w:szCs w:val="20"/>
          <w:lang w:val="en-US"/>
        </w:rPr>
      </w:pPr>
    </w:p>
    <w:p w14:paraId="25C433E3" w14:textId="77777777" w:rsidR="00BA32C7" w:rsidRPr="001D4B36" w:rsidRDefault="00BA32C7" w:rsidP="00BA32C7">
      <w:pPr>
        <w:rPr>
          <w:rFonts w:ascii="Noto Sans" w:hAnsi="Noto Sans" w:cs="Noto Sans"/>
          <w:sz w:val="20"/>
          <w:szCs w:val="20"/>
          <w:lang w:val="en-US"/>
        </w:rPr>
      </w:pPr>
    </w:p>
    <w:p w14:paraId="795F65B3" w14:textId="77777777" w:rsidR="00BA32C7" w:rsidRPr="001D4B36" w:rsidRDefault="00BA32C7" w:rsidP="00BA32C7">
      <w:pPr>
        <w:rPr>
          <w:rFonts w:ascii="Noto Sans" w:hAnsi="Noto Sans" w:cs="Noto Sans"/>
          <w:sz w:val="20"/>
          <w:szCs w:val="20"/>
          <w:lang w:val="en-US"/>
        </w:rPr>
      </w:pPr>
    </w:p>
    <w:p w14:paraId="54B329D9" w14:textId="49DA64A9" w:rsidR="00BA32C7" w:rsidRPr="001D4B36" w:rsidRDefault="00BA32C7" w:rsidP="00BA32C7">
      <w:pPr>
        <w:tabs>
          <w:tab w:val="left" w:pos="2808"/>
        </w:tabs>
        <w:rPr>
          <w:rFonts w:ascii="Noto Sans" w:hAnsi="Noto Sans" w:cs="Noto Sans"/>
          <w:sz w:val="20"/>
          <w:szCs w:val="20"/>
          <w:lang w:val="en-US"/>
        </w:rPr>
      </w:pPr>
    </w:p>
    <w:sectPr w:rsidR="00BA32C7" w:rsidRPr="001D4B36" w:rsidSect="00BA32C7">
      <w:headerReference w:type="even" r:id="rId11"/>
      <w:headerReference w:type="default" r:id="rId12"/>
      <w:footerReference w:type="even" r:id="rId13"/>
      <w:footerReference w:type="default" r:id="rId14"/>
      <w:headerReference w:type="first" r:id="rId15"/>
      <w:footerReference w:type="first" r:id="rId16"/>
      <w:pgSz w:w="12240" w:h="15840"/>
      <w:pgMar w:top="1701" w:right="1701" w:bottom="1417" w:left="1701" w:header="1276"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E4904" w14:textId="77777777" w:rsidR="00003DD4" w:rsidRDefault="00003DD4" w:rsidP="00734F2E">
      <w:pPr>
        <w:spacing w:before="0" w:after="0" w:line="240" w:lineRule="auto"/>
      </w:pPr>
      <w:r>
        <w:separator/>
      </w:r>
    </w:p>
  </w:endnote>
  <w:endnote w:type="continuationSeparator" w:id="0">
    <w:p w14:paraId="10300F55" w14:textId="77777777" w:rsidR="00003DD4" w:rsidRDefault="00003DD4"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Noto Sans">
    <w:panose1 w:val="020B0502040504020204"/>
    <w:charset w:val="00"/>
    <w:family w:val="swiss"/>
    <w:pitch w:val="variable"/>
    <w:sig w:usb0="E00082FF" w:usb1="400078F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Geomanist">
    <w:altName w:val="Calibri"/>
    <w:panose1 w:val="00000000000000000000"/>
    <w:charset w:val="00"/>
    <w:family w:val="modern"/>
    <w:notTrueType/>
    <w:pitch w:val="variable"/>
    <w:sig w:usb0="A000002F" w:usb1="1000004A" w:usb2="00000000" w:usb3="00000000" w:csb0="00000193" w:csb1="00000000"/>
  </w:font>
  <w:font w:name="Geomanist Medium">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89617" w14:textId="706CDC4F" w:rsidR="006F7F68" w:rsidRDefault="0035409F">
    <w:pPr>
      <w:pStyle w:val="Piedepgina"/>
    </w:pPr>
    <w:r>
      <w:rPr>
        <w:noProof/>
      </w:rPr>
      <mc:AlternateContent>
        <mc:Choice Requires="wps">
          <w:drawing>
            <wp:anchor distT="0" distB="0" distL="114300" distR="114300" simplePos="0" relativeHeight="251680768" behindDoc="0" locked="0" layoutInCell="1" allowOverlap="1" wp14:anchorId="1B4CBCE9" wp14:editId="39567D8C">
              <wp:simplePos x="0" y="0"/>
              <wp:positionH relativeFrom="column">
                <wp:posOffset>5501640</wp:posOffset>
              </wp:positionH>
              <wp:positionV relativeFrom="paragraph">
                <wp:posOffset>198755</wp:posOffset>
              </wp:positionV>
              <wp:extent cx="899355" cy="302456"/>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1C33D94" w14:textId="77777777" w:rsidR="0035409F" w:rsidRPr="00A1262B" w:rsidRDefault="0035409F" w:rsidP="0035409F">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CBCE9" id="_x0000_t202" coordsize="21600,21600" o:spt="202" path="m,l,21600r21600,l21600,xe">
              <v:stroke joinstyle="miter"/>
              <v:path gradientshapeok="t" o:connecttype="rect"/>
            </v:shapetype>
            <v:shape id="Cuadro de texto 4" o:spid="_x0000_s1027" type="#_x0000_t202" style="position:absolute;left:0;text-align:left;margin-left:433.2pt;margin-top:15.65pt;width:70.8pt;height:23.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" filled="f" stroked="f" strokeweight=".5pt">
              <v:textbox>
                <w:txbxContent>
                  <w:p w14:paraId="41C33D94" w14:textId="77777777" w:rsidR="0035409F" w:rsidRPr="00A1262B" w:rsidRDefault="0035409F" w:rsidP="0035409F">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421C7FE6" wp14:editId="7CEFF2A6">
              <wp:simplePos x="0" y="0"/>
              <wp:positionH relativeFrom="column">
                <wp:posOffset>1158240</wp:posOffset>
              </wp:positionH>
              <wp:positionV relativeFrom="paragraph">
                <wp:posOffset>198755</wp:posOffset>
              </wp:positionV>
              <wp:extent cx="4626321" cy="357809"/>
              <wp:effectExtent l="0" t="0" r="0" b="0"/>
              <wp:wrapNone/>
              <wp:docPr id="3" name="Cuadro de texto 1"/>
              <wp:cNvGraphicFramePr/>
              <a:graphic xmlns:a="http://schemas.openxmlformats.org/drawingml/2006/main">
                <a:graphicData uri="http://schemas.microsoft.com/office/word/2010/wordprocessingShape">
                  <wps:wsp>
                    <wps:cNvSpPr txBox="1"/>
                    <wps:spPr>
                      <a:xfrm>
                        <a:off x="0" y="0"/>
                        <a:ext cx="4626321" cy="357809"/>
                      </a:xfrm>
                      <a:prstGeom prst="rect">
                        <a:avLst/>
                      </a:prstGeom>
                      <a:noFill/>
                      <a:ln w="6350">
                        <a:noFill/>
                      </a:ln>
                    </wps:spPr>
                    <wps:txbx>
                      <w:txbxContent>
                        <w:p w14:paraId="79795E58" w14:textId="77777777" w:rsidR="0035409F" w:rsidRPr="00FB3673" w:rsidRDefault="0035409F" w:rsidP="0035409F">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6. A</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nálisis autocrítico</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de los logros obtenidos en la administración 2019-2024</w:t>
                          </w:r>
                          <w:r>
                            <w:rPr>
                              <w:sz w:val="16"/>
                              <w:szCs w:val="21"/>
                              <w:lang w:val="es-ES_tradnl"/>
                              <w14:textOutline w14:w="9525" w14:cap="rnd" w14:cmpd="sng" w14:algn="ctr">
                                <w14:solidFill>
                                  <w14:schemeClr w14:val="tx1">
                                    <w14:lumMod w14:val="50000"/>
                                    <w14:lumOff w14:val="50000"/>
                                  </w14:schemeClr>
                                </w14:solidFill>
                                <w14:prstDash w14:val="solid"/>
                                <w14:bevel/>
                              </w14:textOutline>
                            </w:rPr>
                            <w:t>.</w:t>
                          </w:r>
                        </w:p>
                        <w:p w14:paraId="73848C5E" w14:textId="0DBF284A" w:rsidR="0035409F" w:rsidRPr="00FB3673" w:rsidRDefault="0035409F" w:rsidP="0035409F">
                          <w:pPr>
                            <w:rPr>
                              <w:sz w:val="16"/>
                              <w:szCs w:val="21"/>
                              <w:lang w:val="es-ES_tradnl"/>
                              <w14:textOutline w14:w="9525" w14:cap="rnd" w14:cmpd="sng" w14:algn="ctr">
                                <w14:solidFill>
                                  <w14:schemeClr w14:val="tx1">
                                    <w14:lumMod w14:val="50000"/>
                                    <w14:lumOff w14:val="50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C7FE6" id="Cuadro de texto 1" o:spid="_x0000_s1028" type="#_x0000_t202" style="position:absolute;left:0;text-align:left;margin-left:91.2pt;margin-top:15.65pt;width:364.3pt;height:28.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" filled="f" stroked="f" strokeweight=".5pt">
              <v:textbox>
                <w:txbxContent>
                  <w:p w14:paraId="79795E58" w14:textId="77777777" w:rsidR="0035409F" w:rsidRPr="00FB3673" w:rsidRDefault="0035409F" w:rsidP="0035409F">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6. A</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nálisis autocrítico</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de los logros obtenidos en la administración 2019-2024</w:t>
                    </w:r>
                    <w:r>
                      <w:rPr>
                        <w:sz w:val="16"/>
                        <w:szCs w:val="21"/>
                        <w:lang w:val="es-ES_tradnl"/>
                        <w14:textOutline w14:w="9525" w14:cap="rnd" w14:cmpd="sng" w14:algn="ctr">
                          <w14:solidFill>
                            <w14:schemeClr w14:val="tx1">
                              <w14:lumMod w14:val="50000"/>
                              <w14:lumOff w14:val="50000"/>
                            </w14:schemeClr>
                          </w14:solidFill>
                          <w14:prstDash w14:val="solid"/>
                          <w14:bevel/>
                        </w14:textOutline>
                      </w:rPr>
                      <w:t>.</w:t>
                    </w:r>
                  </w:p>
                  <w:p w14:paraId="73848C5E" w14:textId="0DBF284A" w:rsidR="0035409F" w:rsidRPr="00FB3673" w:rsidRDefault="0035409F" w:rsidP="0035409F">
                    <w:pPr>
                      <w:rPr>
                        <w:sz w:val="16"/>
                        <w:szCs w:val="21"/>
                        <w:lang w:val="es-ES_tradnl"/>
                        <w14:textOutline w14:w="9525" w14:cap="rnd" w14:cmpd="sng" w14:algn="ctr">
                          <w14:solidFill>
                            <w14:schemeClr w14:val="tx1">
                              <w14:lumMod w14:val="50000"/>
                              <w14:lumOff w14:val="50000"/>
                            </w14:schemeClr>
                          </w14:solidFill>
                          <w14:prstDash w14:val="solid"/>
                          <w14:bevel/>
                        </w14:textOutline>
                      </w:rPr>
                    </w:pP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1103F94B" wp14:editId="4A7E1180">
              <wp:simplePos x="0" y="0"/>
              <wp:positionH relativeFrom="column">
                <wp:posOffset>1158240</wp:posOffset>
              </wp:positionH>
              <wp:positionV relativeFrom="paragraph">
                <wp:posOffset>-277495</wp:posOffset>
              </wp:positionV>
              <wp:extent cx="5029200" cy="609600"/>
              <wp:effectExtent l="0" t="0" r="0" b="0"/>
              <wp:wrapNone/>
              <wp:docPr id="2" name="Cuadro de texto 3"/>
              <wp:cNvGraphicFramePr/>
              <a:graphic xmlns:a="http://schemas.openxmlformats.org/drawingml/2006/main">
                <a:graphicData uri="http://schemas.microsoft.com/office/word/2010/wordprocessingShape">
                  <wps:wsp>
                    <wps:cNvSpPr txBox="1"/>
                    <wps:spPr>
                      <a:xfrm>
                        <a:off x="0" y="0"/>
                        <a:ext cx="5029200" cy="609600"/>
                      </a:xfrm>
                      <a:prstGeom prst="rect">
                        <a:avLst/>
                      </a:prstGeom>
                      <a:noFill/>
                      <a:ln w="6350">
                        <a:noFill/>
                      </a:ln>
                    </wps:spPr>
                    <wps:txbx>
                      <w:txbxContent>
                        <w:p w14:paraId="3D4B53FE" w14:textId="77777777" w:rsidR="0035409F" w:rsidRPr="00D00C3B" w:rsidRDefault="0035409F" w:rsidP="0035409F">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0DE204C1" w14:textId="77777777" w:rsidR="0035409F" w:rsidRPr="00682CE4" w:rsidRDefault="0035409F" w:rsidP="0035409F">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32DD0C8C" w14:textId="77777777" w:rsidR="0035409F" w:rsidRPr="00D22E8D" w:rsidRDefault="0035409F" w:rsidP="0035409F">
                          <w:pPr>
                            <w:jc w:val="left"/>
                            <w:rPr>
                              <w:rFonts w:ascii="Geomanist Medium" w:hAnsi="Geomanist Medium"/>
                              <w:color w:val="4D182A"/>
                              <w:sz w:val="13"/>
                              <w:szCs w:val="13"/>
                            </w:rPr>
                          </w:pPr>
                        </w:p>
                        <w:p w14:paraId="653725AF" w14:textId="77777777" w:rsidR="0035409F" w:rsidRPr="00D22E8D" w:rsidRDefault="0035409F" w:rsidP="0035409F">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3F94B" id="_x0000_s1029" type="#_x0000_t202" style="position:absolute;left:0;text-align:left;margin-left:91.2pt;margin-top:-21.85pt;width:396pt;height:4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" filled="f" stroked="f" strokeweight=".5pt">
              <v:textbox>
                <w:txbxContent>
                  <w:p w14:paraId="3D4B53FE" w14:textId="77777777" w:rsidR="0035409F" w:rsidRPr="00D00C3B" w:rsidRDefault="0035409F" w:rsidP="0035409F">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0DE204C1" w14:textId="77777777" w:rsidR="0035409F" w:rsidRPr="00682CE4" w:rsidRDefault="0035409F" w:rsidP="0035409F">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32DD0C8C" w14:textId="77777777" w:rsidR="0035409F" w:rsidRPr="00D22E8D" w:rsidRDefault="0035409F" w:rsidP="0035409F">
                    <w:pPr>
                      <w:jc w:val="left"/>
                      <w:rPr>
                        <w:rFonts w:ascii="Geomanist Medium" w:hAnsi="Geomanist Medium"/>
                        <w:color w:val="4D182A"/>
                        <w:sz w:val="13"/>
                        <w:szCs w:val="13"/>
                      </w:rPr>
                    </w:pPr>
                  </w:p>
                  <w:p w14:paraId="653725AF" w14:textId="77777777" w:rsidR="0035409F" w:rsidRPr="00D22E8D" w:rsidRDefault="0035409F" w:rsidP="0035409F">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74624" behindDoc="1" locked="0" layoutInCell="1" allowOverlap="1" wp14:anchorId="215E5401" wp14:editId="3095CE94">
          <wp:simplePos x="0" y="0"/>
          <wp:positionH relativeFrom="column">
            <wp:posOffset>-1066800</wp:posOffset>
          </wp:positionH>
          <wp:positionV relativeFrom="paragraph">
            <wp:posOffset>-362585</wp:posOffset>
          </wp:positionV>
          <wp:extent cx="7776210" cy="1149350"/>
          <wp:effectExtent l="0" t="0" r="0" b="0"/>
          <wp:wrapNone/>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3">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3833C" w14:textId="52EF9DAE" w:rsidR="0035409F" w:rsidRDefault="0035409F">
    <w:pPr>
      <w:pStyle w:val="Piedepgina"/>
    </w:pPr>
    <w:r>
      <w:rPr>
        <w:noProof/>
      </w:rPr>
      <mc:AlternateContent>
        <mc:Choice Requires="wps">
          <w:drawing>
            <wp:anchor distT="0" distB="0" distL="114300" distR="114300" simplePos="0" relativeHeight="251672576" behindDoc="0" locked="0" layoutInCell="1" allowOverlap="1" wp14:anchorId="4D8105B6" wp14:editId="74CA2A8F">
              <wp:simplePos x="0" y="0"/>
              <wp:positionH relativeFrom="column">
                <wp:posOffset>7496175</wp:posOffset>
              </wp:positionH>
              <wp:positionV relativeFrom="paragraph">
                <wp:posOffset>94615</wp:posOffset>
              </wp:positionV>
              <wp:extent cx="899355" cy="302456"/>
              <wp:effectExtent l="0" t="0" r="0" b="0"/>
              <wp:wrapNone/>
              <wp:docPr id="2003451432" name="Cuadro de texto 2003451432"/>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19C1FD7C" w14:textId="77777777" w:rsidR="0035409F" w:rsidRPr="00A1262B" w:rsidRDefault="0035409F" w:rsidP="0035409F">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05B6" id="_x0000_t202" coordsize="21600,21600" o:spt="202" path="m,l,21600r21600,l21600,xe">
              <v:stroke joinstyle="miter"/>
              <v:path gradientshapeok="t" o:connecttype="rect"/>
            </v:shapetype>
            <v:shape id="Cuadro de texto 2003451432" o:spid="_x0000_s1030" type="#_x0000_t202" style="position:absolute;left:0;text-align:left;margin-left:590.25pt;margin-top:7.45pt;width:70.8pt;height:2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" filled="f" stroked="f" strokeweight=".5pt">
              <v:textbox>
                <w:txbxContent>
                  <w:p w14:paraId="19C1FD7C" w14:textId="77777777" w:rsidR="0035409F" w:rsidRPr="00A1262B" w:rsidRDefault="0035409F" w:rsidP="0035409F">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3F5A144D" wp14:editId="5B44F299">
              <wp:simplePos x="0" y="0"/>
              <wp:positionH relativeFrom="column">
                <wp:posOffset>2138045</wp:posOffset>
              </wp:positionH>
              <wp:positionV relativeFrom="paragraph">
                <wp:posOffset>189230</wp:posOffset>
              </wp:positionV>
              <wp:extent cx="5215890" cy="357505"/>
              <wp:effectExtent l="0" t="0" r="0" b="4445"/>
              <wp:wrapNone/>
              <wp:docPr id="972949292" name="Cuadro de texto 1"/>
              <wp:cNvGraphicFramePr/>
              <a:graphic xmlns:a="http://schemas.openxmlformats.org/drawingml/2006/main">
                <a:graphicData uri="http://schemas.microsoft.com/office/word/2010/wordprocessingShape">
                  <wps:wsp>
                    <wps:cNvSpPr txBox="1"/>
                    <wps:spPr>
                      <a:xfrm>
                        <a:off x="0" y="0"/>
                        <a:ext cx="5215890" cy="357505"/>
                      </a:xfrm>
                      <a:prstGeom prst="rect">
                        <a:avLst/>
                      </a:prstGeom>
                      <a:noFill/>
                      <a:ln w="6350">
                        <a:noFill/>
                      </a:ln>
                    </wps:spPr>
                    <wps:txbx>
                      <w:txbxContent>
                        <w:p w14:paraId="4DB14801" w14:textId="653437E6" w:rsidR="0035409F" w:rsidRPr="00FB3673" w:rsidRDefault="0035409F" w:rsidP="0035409F">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6. A</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nálisis autocrítico</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de los logros obtenidos en la administración 2019-2024</w:t>
                          </w:r>
                          <w:r>
                            <w:rPr>
                              <w:sz w:val="16"/>
                              <w:szCs w:val="21"/>
                              <w:lang w:val="es-ES_tradnl"/>
                              <w14:textOutline w14:w="9525" w14:cap="rnd" w14:cmpd="sng" w14:algn="ctr">
                                <w14:solidFill>
                                  <w14:schemeClr w14:val="tx1">
                                    <w14:lumMod w14:val="50000"/>
                                    <w14:lumOff w14:val="50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5A144D" id="_x0000_s1031" type="#_x0000_t202" style="position:absolute;left:0;text-align:left;margin-left:168.35pt;margin-top:14.9pt;width:410.7pt;height:28.1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" filled="f" stroked="f" strokeweight=".5pt">
              <v:textbox>
                <w:txbxContent>
                  <w:p w14:paraId="4DB14801" w14:textId="653437E6" w:rsidR="0035409F" w:rsidRPr="00FB3673" w:rsidRDefault="0035409F" w:rsidP="0035409F">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6. A</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nálisis autocrítico</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de los logros obtenidos en la administración 2019-2024</w:t>
                    </w:r>
                    <w:r>
                      <w:rPr>
                        <w:sz w:val="16"/>
                        <w:szCs w:val="21"/>
                        <w:lang w:val="es-ES_tradnl"/>
                        <w14:textOutline w14:w="9525" w14:cap="rnd" w14:cmpd="sng" w14:algn="ctr">
                          <w14:solidFill>
                            <w14:schemeClr w14:val="tx1">
                              <w14:lumMod w14:val="50000"/>
                              <w14:lumOff w14:val="50000"/>
                            </w14:schemeClr>
                          </w14:solidFill>
                          <w14:prstDash w14:val="solid"/>
                          <w14:bevel/>
                        </w14:textOutline>
                      </w:rPr>
                      <w:t>.</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530FE4C7" wp14:editId="1B26BD48">
              <wp:simplePos x="0" y="0"/>
              <wp:positionH relativeFrom="column">
                <wp:posOffset>2052320</wp:posOffset>
              </wp:positionH>
              <wp:positionV relativeFrom="paragraph">
                <wp:posOffset>-363220</wp:posOffset>
              </wp:positionV>
              <wp:extent cx="5029200" cy="609600"/>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609600"/>
                      </a:xfrm>
                      <a:prstGeom prst="rect">
                        <a:avLst/>
                      </a:prstGeom>
                      <a:noFill/>
                      <a:ln w="6350">
                        <a:noFill/>
                      </a:ln>
                    </wps:spPr>
                    <wps:txbx>
                      <w:txbxContent>
                        <w:p w14:paraId="210D212E" w14:textId="77777777" w:rsidR="0035409F" w:rsidRPr="00D00C3B" w:rsidRDefault="0035409F" w:rsidP="0035409F">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0FBE94F7" w14:textId="77777777" w:rsidR="0035409F" w:rsidRPr="00682CE4" w:rsidRDefault="0035409F" w:rsidP="0035409F">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1D658480" w14:textId="77777777" w:rsidR="0035409F" w:rsidRPr="00D22E8D" w:rsidRDefault="0035409F" w:rsidP="0035409F">
                          <w:pPr>
                            <w:jc w:val="left"/>
                            <w:rPr>
                              <w:rFonts w:ascii="Geomanist Medium" w:hAnsi="Geomanist Medium"/>
                              <w:color w:val="4D182A"/>
                              <w:sz w:val="13"/>
                              <w:szCs w:val="13"/>
                            </w:rPr>
                          </w:pPr>
                        </w:p>
                        <w:p w14:paraId="5A98E1E3" w14:textId="77777777" w:rsidR="0035409F" w:rsidRPr="00D22E8D" w:rsidRDefault="0035409F" w:rsidP="0035409F">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FE4C7" id="_x0000_s1032" type="#_x0000_t202" style="position:absolute;left:0;text-align:left;margin-left:161.6pt;margin-top:-28.6pt;width:396pt;height: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" filled="f" stroked="f" strokeweight=".5pt">
              <v:textbox>
                <w:txbxContent>
                  <w:p w14:paraId="210D212E" w14:textId="77777777" w:rsidR="0035409F" w:rsidRPr="00D00C3B" w:rsidRDefault="0035409F" w:rsidP="0035409F">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0FBE94F7" w14:textId="77777777" w:rsidR="0035409F" w:rsidRPr="00682CE4" w:rsidRDefault="0035409F" w:rsidP="0035409F">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1D658480" w14:textId="77777777" w:rsidR="0035409F" w:rsidRPr="00D22E8D" w:rsidRDefault="0035409F" w:rsidP="0035409F">
                    <w:pPr>
                      <w:jc w:val="left"/>
                      <w:rPr>
                        <w:rFonts w:ascii="Geomanist Medium" w:hAnsi="Geomanist Medium"/>
                        <w:color w:val="4D182A"/>
                        <w:sz w:val="13"/>
                        <w:szCs w:val="13"/>
                      </w:rPr>
                    </w:pPr>
                  </w:p>
                  <w:p w14:paraId="5A98E1E3" w14:textId="77777777" w:rsidR="0035409F" w:rsidRPr="00D22E8D" w:rsidRDefault="0035409F" w:rsidP="0035409F">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66432" behindDoc="1" locked="0" layoutInCell="1" allowOverlap="1" wp14:anchorId="5BEE0857" wp14:editId="7D18BB9D">
          <wp:simplePos x="0" y="0"/>
          <wp:positionH relativeFrom="column">
            <wp:posOffset>-548005</wp:posOffset>
          </wp:positionH>
          <wp:positionV relativeFrom="paragraph">
            <wp:posOffset>-525145</wp:posOffset>
          </wp:positionV>
          <wp:extent cx="880110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3">
                    <a:extLst>
                      <a:ext uri="{28A0092B-C50C-407E-A947-70E740481C1C}">
                        <a14:useLocalDpi xmlns:a14="http://schemas.microsoft.com/office/drawing/2010/main" val="0"/>
                      </a:ext>
                    </a:extLst>
                  </a:blip>
                  <a:srcRect t="86988" b="1590"/>
                  <a:stretch/>
                </pic:blipFill>
                <pic:spPr bwMode="auto">
                  <a:xfrm>
                    <a:off x="0" y="0"/>
                    <a:ext cx="880110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31447" w14:textId="77777777" w:rsidR="00BA32C7" w:rsidRDefault="00BA32C7">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4C803199" w:rsidR="00A9012B" w:rsidRPr="005C486A" w:rsidRDefault="0035409F" w:rsidP="00684857">
    <w:pPr>
      <w:jc w:val="center"/>
      <w:rPr>
        <w:b/>
        <w:bCs/>
      </w:rPr>
    </w:pPr>
    <w:r>
      <w:rPr>
        <w:noProof/>
      </w:rPr>
      <mc:AlternateContent>
        <mc:Choice Requires="wps">
          <w:drawing>
            <wp:anchor distT="0" distB="0" distL="114300" distR="114300" simplePos="0" relativeHeight="251684864" behindDoc="0" locked="0" layoutInCell="1" allowOverlap="1" wp14:anchorId="49709783" wp14:editId="3B04F1D0">
              <wp:simplePos x="0" y="0"/>
              <wp:positionH relativeFrom="column">
                <wp:posOffset>1148715</wp:posOffset>
              </wp:positionH>
              <wp:positionV relativeFrom="paragraph">
                <wp:posOffset>511175</wp:posOffset>
              </wp:positionV>
              <wp:extent cx="4626321" cy="357809"/>
              <wp:effectExtent l="0" t="0" r="0" b="0"/>
              <wp:wrapNone/>
              <wp:docPr id="7" name="Cuadro de texto 1"/>
              <wp:cNvGraphicFramePr/>
              <a:graphic xmlns:a="http://schemas.openxmlformats.org/drawingml/2006/main">
                <a:graphicData uri="http://schemas.microsoft.com/office/word/2010/wordprocessingShape">
                  <wps:wsp>
                    <wps:cNvSpPr txBox="1"/>
                    <wps:spPr>
                      <a:xfrm>
                        <a:off x="0" y="0"/>
                        <a:ext cx="4626321" cy="357809"/>
                      </a:xfrm>
                      <a:prstGeom prst="rect">
                        <a:avLst/>
                      </a:prstGeom>
                      <a:noFill/>
                      <a:ln w="6350">
                        <a:noFill/>
                      </a:ln>
                    </wps:spPr>
                    <wps:txbx>
                      <w:txbxContent>
                        <w:p w14:paraId="4DD07166" w14:textId="77777777" w:rsidR="005523F8" w:rsidRPr="00FB3673" w:rsidRDefault="005523F8" w:rsidP="005523F8">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6. A</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nálisis autocrítico</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de los logros obtenidos en la administración 2019-2024</w:t>
                          </w:r>
                          <w:r>
                            <w:rPr>
                              <w:sz w:val="16"/>
                              <w:szCs w:val="21"/>
                              <w:lang w:val="es-ES_tradnl"/>
                              <w14:textOutline w14:w="9525" w14:cap="rnd" w14:cmpd="sng" w14:algn="ctr">
                                <w14:solidFill>
                                  <w14:schemeClr w14:val="tx1">
                                    <w14:lumMod w14:val="50000"/>
                                    <w14:lumOff w14:val="50000"/>
                                  </w14:schemeClr>
                                </w14:solidFill>
                                <w14:prstDash w14:val="solid"/>
                                <w14:bevel/>
                              </w14:textOutline>
                            </w:rPr>
                            <w:t>.</w:t>
                          </w:r>
                        </w:p>
                        <w:p w14:paraId="2D2A3AC4" w14:textId="27D91391" w:rsidR="0035409F" w:rsidRPr="00FB3673" w:rsidRDefault="0035409F" w:rsidP="0035409F">
                          <w:pPr>
                            <w:rPr>
                              <w:sz w:val="16"/>
                              <w:szCs w:val="21"/>
                              <w:lang w:val="es-ES_tradnl"/>
                              <w14:textOutline w14:w="9525" w14:cap="rnd" w14:cmpd="sng" w14:algn="ctr">
                                <w14:solidFill>
                                  <w14:schemeClr w14:val="tx1">
                                    <w14:lumMod w14:val="50000"/>
                                    <w14:lumOff w14:val="50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709783" id="_x0000_t202" coordsize="21600,21600" o:spt="202" path="m,l,21600r21600,l21600,xe">
              <v:stroke joinstyle="miter"/>
              <v:path gradientshapeok="t" o:connecttype="rect"/>
            </v:shapetype>
            <v:shape id="_x0000_s1033" type="#_x0000_t202" style="position:absolute;left:0;text-align:left;margin-left:90.45pt;margin-top:40.25pt;width:364.3pt;height:28.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" filled="f" stroked="f" strokeweight=".5pt">
              <v:textbox>
                <w:txbxContent>
                  <w:p w14:paraId="4DD07166" w14:textId="77777777" w:rsidR="005523F8" w:rsidRPr="00FB3673" w:rsidRDefault="005523F8" w:rsidP="005523F8">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6. A</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nálisis autocrítico</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w:t>
                    </w:r>
                    <w:r w:rsidRPr="0035409F">
                      <w:rPr>
                        <w:sz w:val="16"/>
                        <w:szCs w:val="21"/>
                        <w:lang w:val="es-ES_tradnl"/>
                        <w14:textOutline w14:w="9525" w14:cap="rnd" w14:cmpd="sng" w14:algn="ctr">
                          <w14:solidFill>
                            <w14:schemeClr w14:val="tx1">
                              <w14:lumMod w14:val="50000"/>
                              <w14:lumOff w14:val="50000"/>
                            </w14:schemeClr>
                          </w14:solidFill>
                          <w14:prstDash w14:val="solid"/>
                          <w14:bevel/>
                        </w14:textOutline>
                      </w:rPr>
                      <w:t>de los logros obtenidos en la administración 2019-2024</w:t>
                    </w:r>
                    <w:r>
                      <w:rPr>
                        <w:sz w:val="16"/>
                        <w:szCs w:val="21"/>
                        <w:lang w:val="es-ES_tradnl"/>
                        <w14:textOutline w14:w="9525" w14:cap="rnd" w14:cmpd="sng" w14:algn="ctr">
                          <w14:solidFill>
                            <w14:schemeClr w14:val="tx1">
                              <w14:lumMod w14:val="50000"/>
                              <w14:lumOff w14:val="50000"/>
                            </w14:schemeClr>
                          </w14:solidFill>
                          <w14:prstDash w14:val="solid"/>
                          <w14:bevel/>
                        </w14:textOutline>
                      </w:rPr>
                      <w:t>.</w:t>
                    </w:r>
                  </w:p>
                  <w:p w14:paraId="2D2A3AC4" w14:textId="27D91391" w:rsidR="0035409F" w:rsidRPr="00FB3673" w:rsidRDefault="0035409F" w:rsidP="0035409F">
                    <w:pPr>
                      <w:rPr>
                        <w:sz w:val="16"/>
                        <w:szCs w:val="21"/>
                        <w:lang w:val="es-ES_tradnl"/>
                        <w14:textOutline w14:w="9525" w14:cap="rnd" w14:cmpd="sng" w14:algn="ctr">
                          <w14:solidFill>
                            <w14:schemeClr w14:val="tx1">
                              <w14:lumMod w14:val="50000"/>
                              <w14:lumOff w14:val="50000"/>
                            </w14:schemeClr>
                          </w14:solidFill>
                          <w14:prstDash w14:val="solid"/>
                          <w14:bevel/>
                        </w14:textOutline>
                      </w:rPr>
                    </w:pP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6EA10327" wp14:editId="44B2EB22">
              <wp:simplePos x="0" y="0"/>
              <wp:positionH relativeFrom="column">
                <wp:posOffset>1091565</wp:posOffset>
              </wp:positionH>
              <wp:positionV relativeFrom="paragraph">
                <wp:posOffset>-29210</wp:posOffset>
              </wp:positionV>
              <wp:extent cx="5029200" cy="609600"/>
              <wp:effectExtent l="0" t="0" r="0" b="0"/>
              <wp:wrapNone/>
              <wp:docPr id="6" name="Cuadro de texto 3"/>
              <wp:cNvGraphicFramePr/>
              <a:graphic xmlns:a="http://schemas.openxmlformats.org/drawingml/2006/main">
                <a:graphicData uri="http://schemas.microsoft.com/office/word/2010/wordprocessingShape">
                  <wps:wsp>
                    <wps:cNvSpPr txBox="1"/>
                    <wps:spPr>
                      <a:xfrm>
                        <a:off x="0" y="0"/>
                        <a:ext cx="5029200" cy="609600"/>
                      </a:xfrm>
                      <a:prstGeom prst="rect">
                        <a:avLst/>
                      </a:prstGeom>
                      <a:noFill/>
                      <a:ln w="6350">
                        <a:noFill/>
                      </a:ln>
                    </wps:spPr>
                    <wps:txbx>
                      <w:txbxContent>
                        <w:p w14:paraId="318E9E0D" w14:textId="77777777" w:rsidR="0035409F" w:rsidRPr="00D00C3B" w:rsidRDefault="0035409F" w:rsidP="0035409F">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47521E08" w14:textId="77777777" w:rsidR="0035409F" w:rsidRPr="00682CE4" w:rsidRDefault="0035409F" w:rsidP="0035409F">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3456F36C" w14:textId="77777777" w:rsidR="0035409F" w:rsidRPr="00D22E8D" w:rsidRDefault="0035409F" w:rsidP="0035409F">
                          <w:pPr>
                            <w:jc w:val="left"/>
                            <w:rPr>
                              <w:rFonts w:ascii="Geomanist Medium" w:hAnsi="Geomanist Medium"/>
                              <w:color w:val="4D182A"/>
                              <w:sz w:val="13"/>
                              <w:szCs w:val="13"/>
                            </w:rPr>
                          </w:pPr>
                        </w:p>
                        <w:p w14:paraId="06C539E6" w14:textId="77777777" w:rsidR="0035409F" w:rsidRPr="00D22E8D" w:rsidRDefault="0035409F" w:rsidP="0035409F">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A10327" id="_x0000_s1034" type="#_x0000_t202" style="position:absolute;left:0;text-align:left;margin-left:85.95pt;margin-top:-2.3pt;width:396pt;height:4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" filled="f" stroked="f" strokeweight=".5pt">
              <v:textbox>
                <w:txbxContent>
                  <w:p w14:paraId="318E9E0D" w14:textId="77777777" w:rsidR="0035409F" w:rsidRPr="00D00C3B" w:rsidRDefault="0035409F" w:rsidP="0035409F">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47521E08" w14:textId="77777777" w:rsidR="0035409F" w:rsidRPr="00682CE4" w:rsidRDefault="0035409F" w:rsidP="0035409F">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3456F36C" w14:textId="77777777" w:rsidR="0035409F" w:rsidRPr="00D22E8D" w:rsidRDefault="0035409F" w:rsidP="0035409F">
                    <w:pPr>
                      <w:jc w:val="left"/>
                      <w:rPr>
                        <w:rFonts w:ascii="Geomanist Medium" w:hAnsi="Geomanist Medium"/>
                        <w:color w:val="4D182A"/>
                        <w:sz w:val="13"/>
                        <w:szCs w:val="13"/>
                      </w:rPr>
                    </w:pPr>
                  </w:p>
                  <w:p w14:paraId="06C539E6" w14:textId="77777777" w:rsidR="0035409F" w:rsidRPr="00D22E8D" w:rsidRDefault="0035409F" w:rsidP="0035409F">
                    <w:pPr>
                      <w:jc w:val="left"/>
                      <w:rPr>
                        <w:rFonts w:ascii="Geomanist Medium" w:hAnsi="Geomanist Medium"/>
                        <w:color w:val="FFFFFF" w:themeColor="background1"/>
                        <w:sz w:val="13"/>
                        <w:szCs w:val="13"/>
                      </w:rPr>
                    </w:pPr>
                  </w:p>
                </w:txbxContent>
              </v:textbox>
            </v:shape>
          </w:pict>
        </mc:Fallback>
      </mc:AlternateContent>
    </w:r>
    <w:r w:rsidR="002822F7">
      <w:rPr>
        <w:noProof/>
      </w:rPr>
      <mc:AlternateContent>
        <mc:Choice Requires="wps">
          <w:drawing>
            <wp:anchor distT="0" distB="0" distL="114300" distR="114300" simplePos="0" relativeHeight="251655168" behindDoc="0" locked="0" layoutInCell="1" allowOverlap="1" wp14:anchorId="0FB7594A" wp14:editId="02F0DBF0">
              <wp:simplePos x="0" y="0"/>
              <wp:positionH relativeFrom="column">
                <wp:posOffset>5092065</wp:posOffset>
              </wp:positionH>
              <wp:positionV relativeFrom="paragraph">
                <wp:posOffset>580390</wp:posOffset>
              </wp:positionV>
              <wp:extent cx="1089660" cy="302456"/>
              <wp:effectExtent l="0" t="0" r="0" b="2540"/>
              <wp:wrapNone/>
              <wp:docPr id="16" name="Cuadro de texto 16"/>
              <wp:cNvGraphicFramePr/>
              <a:graphic xmlns:a="http://schemas.openxmlformats.org/drawingml/2006/main">
                <a:graphicData uri="http://schemas.microsoft.com/office/word/2010/wordprocessingShape">
                  <wps:wsp>
                    <wps:cNvSpPr txBox="1"/>
                    <wps:spPr>
                      <a:xfrm>
                        <a:off x="0" y="0"/>
                        <a:ext cx="1089660" cy="302456"/>
                      </a:xfrm>
                      <a:prstGeom prst="rect">
                        <a:avLst/>
                      </a:prstGeom>
                      <a:noFill/>
                      <a:ln w="6350">
                        <a:noFill/>
                      </a:ln>
                    </wps:spPr>
                    <wps:txbx>
                      <w:txbxContent>
                        <w:p w14:paraId="4DE5956A" w14:textId="78A9D8B0" w:rsidR="00684857" w:rsidRPr="00D00C3B" w:rsidRDefault="00684857" w:rsidP="007E5B78">
                          <w:pPr>
                            <w:pStyle w:val="Sinespaciado"/>
                            <w:jc w:val="center"/>
                            <w:rPr>
                              <w:rFonts w:ascii="Noto Sans" w:hAnsi="Noto Sans" w:cs="Noto Sans"/>
                              <w:color w:val="4D182A"/>
                              <w:sz w:val="15"/>
                              <w:szCs w:val="21"/>
                            </w:rPr>
                          </w:pPr>
                          <w:r w:rsidRPr="00D00C3B">
                            <w:rPr>
                              <w:rFonts w:ascii="Noto Sans" w:hAnsi="Noto Sans" w:cs="Noto Sans"/>
                              <w:color w:val="4D182A"/>
                              <w:sz w:val="15"/>
                              <w:szCs w:val="21"/>
                            </w:rPr>
                            <w:t xml:space="preserve">Página </w:t>
                          </w:r>
                          <w:r w:rsidRPr="00D00C3B">
                            <w:rPr>
                              <w:rFonts w:ascii="Noto Sans" w:hAnsi="Noto Sans" w:cs="Noto Sans"/>
                              <w:color w:val="4D182A"/>
                              <w:sz w:val="15"/>
                              <w:szCs w:val="21"/>
                            </w:rPr>
                            <w:fldChar w:fldCharType="begin"/>
                          </w:r>
                          <w:r w:rsidRPr="00D00C3B">
                            <w:rPr>
                              <w:rFonts w:ascii="Noto Sans" w:hAnsi="Noto Sans" w:cs="Noto Sans"/>
                              <w:color w:val="4D182A"/>
                              <w:sz w:val="15"/>
                              <w:szCs w:val="21"/>
                            </w:rPr>
                            <w:instrText xml:space="preserve"> PAGE   \* MERGEFORMAT </w:instrText>
                          </w:r>
                          <w:r w:rsidRPr="00D00C3B">
                            <w:rPr>
                              <w:rFonts w:ascii="Noto Sans" w:hAnsi="Noto Sans" w:cs="Noto Sans"/>
                              <w:color w:val="4D182A"/>
                              <w:sz w:val="15"/>
                              <w:szCs w:val="21"/>
                            </w:rPr>
                            <w:fldChar w:fldCharType="separate"/>
                          </w:r>
                          <w:r w:rsidRPr="00D00C3B">
                            <w:rPr>
                              <w:rFonts w:ascii="Noto Sans" w:hAnsi="Noto Sans" w:cs="Noto Sans"/>
                              <w:color w:val="4D182A"/>
                              <w:sz w:val="15"/>
                              <w:szCs w:val="21"/>
                            </w:rPr>
                            <w:t>1</w:t>
                          </w:r>
                          <w:r w:rsidRPr="00D00C3B">
                            <w:rPr>
                              <w:rFonts w:ascii="Noto Sans" w:hAnsi="Noto Sans" w:cs="Noto Sans"/>
                              <w:color w:val="4D182A"/>
                              <w:sz w:val="15"/>
                              <w:szCs w:val="21"/>
                            </w:rPr>
                            <w:fldChar w:fldCharType="end"/>
                          </w:r>
                          <w:r w:rsidR="00A001C6" w:rsidRPr="00D00C3B">
                            <w:rPr>
                              <w:rFonts w:ascii="Noto Sans" w:hAnsi="Noto Sans" w:cs="Noto Sans"/>
                              <w:color w:val="4D182A"/>
                              <w:sz w:val="15"/>
                              <w:szCs w:val="21"/>
                            </w:rPr>
                            <w:t xml:space="preserve"> de </w:t>
                          </w:r>
                          <w:r w:rsidR="00E57792" w:rsidRPr="00D00C3B">
                            <w:rPr>
                              <w:rFonts w:ascii="Noto Sans" w:hAnsi="Noto Sans" w:cs="Noto Sans"/>
                              <w:color w:val="4D182A"/>
                              <w:sz w:val="15"/>
                              <w:szCs w:val="21"/>
                            </w:rPr>
                            <w:fldChar w:fldCharType="begin"/>
                          </w:r>
                          <w:r w:rsidR="00E57792" w:rsidRPr="00D00C3B">
                            <w:rPr>
                              <w:rFonts w:ascii="Noto Sans" w:hAnsi="Noto Sans" w:cs="Noto Sans"/>
                              <w:color w:val="4D182A"/>
                              <w:sz w:val="15"/>
                              <w:szCs w:val="21"/>
                            </w:rPr>
                            <w:instrText xml:space="preserve"> NUMPAGES  \* Arabic  \* MERGEFORMAT </w:instrText>
                          </w:r>
                          <w:r w:rsidR="00E57792" w:rsidRPr="00D00C3B">
                            <w:rPr>
                              <w:rFonts w:ascii="Noto Sans" w:hAnsi="Noto Sans" w:cs="Noto Sans"/>
                              <w:color w:val="4D182A"/>
                              <w:sz w:val="15"/>
                              <w:szCs w:val="21"/>
                            </w:rPr>
                            <w:fldChar w:fldCharType="separate"/>
                          </w:r>
                          <w:r w:rsidR="00A001C6" w:rsidRPr="00D00C3B">
                            <w:rPr>
                              <w:rFonts w:ascii="Noto Sans" w:hAnsi="Noto Sans" w:cs="Noto Sans"/>
                              <w:color w:val="4D182A"/>
                              <w:sz w:val="15"/>
                              <w:szCs w:val="21"/>
                            </w:rPr>
                            <w:t>1</w:t>
                          </w:r>
                          <w:r w:rsidR="00E57792" w:rsidRPr="00D00C3B">
                            <w:rPr>
                              <w:rFonts w:ascii="Noto Sans" w:hAnsi="Noto Sans" w:cs="Noto Sans"/>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35" type="#_x0000_t202" style="position:absolute;left:0;text-align:left;margin-left:400.95pt;margin-top:45.7pt;width:85.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" filled="f" stroked="f" strokeweight=".5pt">
              <v:textbox>
                <w:txbxContent>
                  <w:p w14:paraId="4DE5956A" w14:textId="78A9D8B0" w:rsidR="00684857" w:rsidRPr="00D00C3B" w:rsidRDefault="00684857" w:rsidP="007E5B78">
                    <w:pPr>
                      <w:pStyle w:val="Sinespaciado"/>
                      <w:jc w:val="center"/>
                      <w:rPr>
                        <w:rFonts w:ascii="Noto Sans" w:hAnsi="Noto Sans" w:cs="Noto Sans"/>
                        <w:color w:val="4D182A"/>
                        <w:sz w:val="15"/>
                        <w:szCs w:val="21"/>
                      </w:rPr>
                    </w:pPr>
                    <w:r w:rsidRPr="00D00C3B">
                      <w:rPr>
                        <w:rFonts w:ascii="Noto Sans" w:hAnsi="Noto Sans" w:cs="Noto Sans"/>
                        <w:color w:val="4D182A"/>
                        <w:sz w:val="15"/>
                        <w:szCs w:val="21"/>
                      </w:rPr>
                      <w:t xml:space="preserve">Página </w:t>
                    </w:r>
                    <w:r w:rsidRPr="00D00C3B">
                      <w:rPr>
                        <w:rFonts w:ascii="Noto Sans" w:hAnsi="Noto Sans" w:cs="Noto Sans"/>
                        <w:color w:val="4D182A"/>
                        <w:sz w:val="15"/>
                        <w:szCs w:val="21"/>
                      </w:rPr>
                      <w:fldChar w:fldCharType="begin"/>
                    </w:r>
                    <w:r w:rsidRPr="00D00C3B">
                      <w:rPr>
                        <w:rFonts w:ascii="Noto Sans" w:hAnsi="Noto Sans" w:cs="Noto Sans"/>
                        <w:color w:val="4D182A"/>
                        <w:sz w:val="15"/>
                        <w:szCs w:val="21"/>
                      </w:rPr>
                      <w:instrText xml:space="preserve"> PAGE   \* MERGEFORMAT </w:instrText>
                    </w:r>
                    <w:r w:rsidRPr="00D00C3B">
                      <w:rPr>
                        <w:rFonts w:ascii="Noto Sans" w:hAnsi="Noto Sans" w:cs="Noto Sans"/>
                        <w:color w:val="4D182A"/>
                        <w:sz w:val="15"/>
                        <w:szCs w:val="21"/>
                      </w:rPr>
                      <w:fldChar w:fldCharType="separate"/>
                    </w:r>
                    <w:r w:rsidRPr="00D00C3B">
                      <w:rPr>
                        <w:rFonts w:ascii="Noto Sans" w:hAnsi="Noto Sans" w:cs="Noto Sans"/>
                        <w:color w:val="4D182A"/>
                        <w:sz w:val="15"/>
                        <w:szCs w:val="21"/>
                      </w:rPr>
                      <w:t>1</w:t>
                    </w:r>
                    <w:r w:rsidRPr="00D00C3B">
                      <w:rPr>
                        <w:rFonts w:ascii="Noto Sans" w:hAnsi="Noto Sans" w:cs="Noto Sans"/>
                        <w:color w:val="4D182A"/>
                        <w:sz w:val="15"/>
                        <w:szCs w:val="21"/>
                      </w:rPr>
                      <w:fldChar w:fldCharType="end"/>
                    </w:r>
                    <w:r w:rsidR="00A001C6" w:rsidRPr="00D00C3B">
                      <w:rPr>
                        <w:rFonts w:ascii="Noto Sans" w:hAnsi="Noto Sans" w:cs="Noto Sans"/>
                        <w:color w:val="4D182A"/>
                        <w:sz w:val="15"/>
                        <w:szCs w:val="21"/>
                      </w:rPr>
                      <w:t xml:space="preserve"> de </w:t>
                    </w:r>
                    <w:r w:rsidR="00E57792" w:rsidRPr="00D00C3B">
                      <w:rPr>
                        <w:rFonts w:ascii="Noto Sans" w:hAnsi="Noto Sans" w:cs="Noto Sans"/>
                        <w:color w:val="4D182A"/>
                        <w:sz w:val="15"/>
                        <w:szCs w:val="21"/>
                      </w:rPr>
                      <w:fldChar w:fldCharType="begin"/>
                    </w:r>
                    <w:r w:rsidR="00E57792" w:rsidRPr="00D00C3B">
                      <w:rPr>
                        <w:rFonts w:ascii="Noto Sans" w:hAnsi="Noto Sans" w:cs="Noto Sans"/>
                        <w:color w:val="4D182A"/>
                        <w:sz w:val="15"/>
                        <w:szCs w:val="21"/>
                      </w:rPr>
                      <w:instrText xml:space="preserve"> NUMPAGES  \* Arabic  \* MERGEFORMAT </w:instrText>
                    </w:r>
                    <w:r w:rsidR="00E57792" w:rsidRPr="00D00C3B">
                      <w:rPr>
                        <w:rFonts w:ascii="Noto Sans" w:hAnsi="Noto Sans" w:cs="Noto Sans"/>
                        <w:color w:val="4D182A"/>
                        <w:sz w:val="15"/>
                        <w:szCs w:val="21"/>
                      </w:rPr>
                      <w:fldChar w:fldCharType="separate"/>
                    </w:r>
                    <w:r w:rsidR="00A001C6" w:rsidRPr="00D00C3B">
                      <w:rPr>
                        <w:rFonts w:ascii="Noto Sans" w:hAnsi="Noto Sans" w:cs="Noto Sans"/>
                        <w:color w:val="4D182A"/>
                        <w:sz w:val="15"/>
                        <w:szCs w:val="21"/>
                      </w:rPr>
                      <w:t>1</w:t>
                    </w:r>
                    <w:r w:rsidR="00E57792" w:rsidRPr="00D00C3B">
                      <w:rPr>
                        <w:rFonts w:ascii="Noto Sans" w:hAnsi="Noto Sans" w:cs="Noto Sans"/>
                        <w:color w:val="4D182A"/>
                        <w:sz w:val="15"/>
                        <w:szCs w:val="21"/>
                      </w:rPr>
                      <w:fldChar w:fldCharType="end"/>
                    </w:r>
                  </w:p>
                </w:txbxContent>
              </v:textbox>
            </v:shape>
          </w:pict>
        </mc:Fallback>
      </mc:AlternateContent>
    </w:r>
    <w:r w:rsidR="002822F7">
      <w:rPr>
        <w:noProof/>
      </w:rPr>
      <w:drawing>
        <wp:anchor distT="0" distB="0" distL="114300" distR="114300" simplePos="0" relativeHeight="251658240" behindDoc="1" locked="0" layoutInCell="1" allowOverlap="1" wp14:anchorId="3C3E61FC" wp14:editId="1A77779A">
          <wp:simplePos x="0" y="0"/>
          <wp:positionH relativeFrom="column">
            <wp:posOffset>-1087120</wp:posOffset>
          </wp:positionH>
          <wp:positionV relativeFrom="paragraph">
            <wp:posOffset>-120848</wp:posOffset>
          </wp:positionV>
          <wp:extent cx="7776352" cy="1149371"/>
          <wp:effectExtent l="0" t="0" r="0" b="0"/>
          <wp:wrapNone/>
          <wp:docPr id="204069672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3">
                    <a:extLst>
                      <a:ext uri="{28A0092B-C50C-407E-A947-70E740481C1C}">
                        <a14:useLocalDpi xmlns:a14="http://schemas.microsoft.com/office/drawing/2010/main" val="0"/>
                      </a:ext>
                    </a:extLst>
                  </a:blip>
                  <a:srcRect t="86988" b="1590"/>
                  <a:stretch/>
                </pic:blipFill>
                <pic:spPr bwMode="auto">
                  <a:xfrm>
                    <a:off x="0" y="0"/>
                    <a:ext cx="7776352" cy="11493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b/>
          <w:bCs/>
        </w:rPr>
        <w:id w:val="35093665"/>
        <w:docPartObj>
          <w:docPartGallery w:val="Page Numbers (Bottom of Page)"/>
          <w:docPartUnique/>
        </w:docPartObj>
      </w:sdtPr>
      <w:sdtEndP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D2EC0" w14:textId="77777777" w:rsidR="00BA32C7" w:rsidRDefault="00BA32C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B466B" w14:textId="77777777" w:rsidR="00003DD4" w:rsidRDefault="00003DD4" w:rsidP="00734F2E">
      <w:pPr>
        <w:spacing w:before="0" w:after="0" w:line="240" w:lineRule="auto"/>
      </w:pPr>
      <w:r>
        <w:separator/>
      </w:r>
    </w:p>
  </w:footnote>
  <w:footnote w:type="continuationSeparator" w:id="0">
    <w:p w14:paraId="6C210BCC" w14:textId="77777777" w:rsidR="00003DD4" w:rsidRDefault="00003DD4"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86857" w14:textId="55D91CD9" w:rsidR="006F7F68" w:rsidRDefault="00E41CFA">
    <w:pPr>
      <w:pStyle w:val="Encabezado"/>
    </w:pPr>
    <w:r>
      <w:rPr>
        <w:noProof/>
      </w:rPr>
      <mc:AlternateContent>
        <mc:Choice Requires="wps">
          <w:drawing>
            <wp:anchor distT="0" distB="0" distL="114300" distR="114300" simplePos="0" relativeHeight="251661312" behindDoc="0" locked="0" layoutInCell="1" allowOverlap="1" wp14:anchorId="5D8B1EDC" wp14:editId="4E1C9305">
              <wp:simplePos x="0" y="0"/>
              <wp:positionH relativeFrom="column">
                <wp:posOffset>-1043940</wp:posOffset>
              </wp:positionH>
              <wp:positionV relativeFrom="paragraph">
                <wp:posOffset>279400</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272ABE0A" w14:textId="77777777" w:rsidR="006F7F68" w:rsidRPr="00A1262B" w:rsidRDefault="006F7F68" w:rsidP="003807BF">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2DC93F1B" w14:textId="77777777" w:rsidR="006F7F68" w:rsidRDefault="006F7F68" w:rsidP="003807BF">
                          <w:pPr>
                            <w:rPr>
                              <w:rFonts w:ascii="Geomanist Medium" w:hAnsi="Geomanist Medium"/>
                              <w:color w:val="4D182A"/>
                              <w:sz w:val="13"/>
                              <w:szCs w:val="13"/>
                            </w:rPr>
                          </w:pPr>
                        </w:p>
                        <w:p w14:paraId="1C86AE80" w14:textId="77777777" w:rsidR="006F7F68" w:rsidRDefault="006F7F68" w:rsidP="003807BF">
                          <w:pPr>
                            <w:rPr>
                              <w:rFonts w:ascii="Geomanist Medium" w:hAnsi="Geomanist Medium"/>
                              <w:color w:val="4D182A"/>
                              <w:sz w:val="13"/>
                              <w:szCs w:val="13"/>
                            </w:rPr>
                          </w:pPr>
                        </w:p>
                        <w:p w14:paraId="75E1271C" w14:textId="77777777" w:rsidR="006F7F68" w:rsidRPr="00E07BB6" w:rsidRDefault="006F7F68" w:rsidP="003807BF">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9A6495E" w14:textId="77777777" w:rsidR="006F7F68" w:rsidRDefault="006F7F68" w:rsidP="003807BF">
                          <w:pPr>
                            <w:rPr>
                              <w:rFonts w:ascii="Geomanist Medium" w:hAnsi="Geomanist Medium"/>
                              <w:color w:val="4D182A"/>
                              <w:sz w:val="13"/>
                              <w:szCs w:val="13"/>
                            </w:rPr>
                          </w:pPr>
                        </w:p>
                        <w:p w14:paraId="5B598013" w14:textId="77777777" w:rsidR="006F7F68" w:rsidRPr="00E07BB6" w:rsidRDefault="006F7F68" w:rsidP="003807BF">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8B1EDC" id="_x0000_t202" coordsize="21600,21600" o:spt="202" path="m,l,21600r21600,l21600,xe">
              <v:stroke joinstyle="miter"/>
              <v:path gradientshapeok="t" o:connecttype="rect"/>
            </v:shapetype>
            <v:shape id="Cuadro de texto 3" o:spid="_x0000_s1026" type="#_x0000_t202" style="position:absolute;left:0;text-align:left;margin-left:-82.2pt;margin-top:22pt;width:223.2pt;height:4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" filled="f" stroked="f" strokeweight=".5pt">
              <v:textbox>
                <w:txbxContent>
                  <w:p w14:paraId="272ABE0A" w14:textId="77777777" w:rsidR="006F7F68" w:rsidRPr="00A1262B" w:rsidRDefault="006F7F68" w:rsidP="003807BF">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2DC93F1B" w14:textId="77777777" w:rsidR="006F7F68" w:rsidRDefault="006F7F68" w:rsidP="003807BF">
                    <w:pPr>
                      <w:rPr>
                        <w:rFonts w:ascii="Geomanist Medium" w:hAnsi="Geomanist Medium"/>
                        <w:color w:val="4D182A"/>
                        <w:sz w:val="13"/>
                        <w:szCs w:val="13"/>
                      </w:rPr>
                    </w:pPr>
                  </w:p>
                  <w:p w14:paraId="1C86AE80" w14:textId="77777777" w:rsidR="006F7F68" w:rsidRDefault="006F7F68" w:rsidP="003807BF">
                    <w:pPr>
                      <w:rPr>
                        <w:rFonts w:ascii="Geomanist Medium" w:hAnsi="Geomanist Medium"/>
                        <w:color w:val="4D182A"/>
                        <w:sz w:val="13"/>
                        <w:szCs w:val="13"/>
                      </w:rPr>
                    </w:pPr>
                  </w:p>
                  <w:p w14:paraId="75E1271C" w14:textId="77777777" w:rsidR="006F7F68" w:rsidRPr="00E07BB6" w:rsidRDefault="006F7F68" w:rsidP="003807BF">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9A6495E" w14:textId="77777777" w:rsidR="006F7F68" w:rsidRDefault="006F7F68" w:rsidP="003807BF">
                    <w:pPr>
                      <w:rPr>
                        <w:rFonts w:ascii="Geomanist Medium" w:hAnsi="Geomanist Medium"/>
                        <w:color w:val="4D182A"/>
                        <w:sz w:val="13"/>
                        <w:szCs w:val="13"/>
                      </w:rPr>
                    </w:pPr>
                  </w:p>
                  <w:p w14:paraId="5B598013" w14:textId="77777777" w:rsidR="006F7F68" w:rsidRPr="00E07BB6" w:rsidRDefault="006F7F68" w:rsidP="003807BF">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63360" behindDoc="1" locked="0" layoutInCell="1" allowOverlap="1" wp14:anchorId="5FF2E25A" wp14:editId="48CDAC5F">
          <wp:simplePos x="0" y="0"/>
          <wp:positionH relativeFrom="page">
            <wp:posOffset>40640</wp:posOffset>
          </wp:positionH>
          <wp:positionV relativeFrom="paragraph">
            <wp:posOffset>-531495</wp:posOffset>
          </wp:positionV>
          <wp:extent cx="5430520" cy="1101090"/>
          <wp:effectExtent l="0" t="0" r="0" b="3810"/>
          <wp:wrapNone/>
          <wp:docPr id="1817343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D4B36">
      <w:rPr>
        <w:noProof/>
      </w:rPr>
      <w:drawing>
        <wp:anchor distT="0" distB="0" distL="114300" distR="114300" simplePos="0" relativeHeight="251664384" behindDoc="1" locked="0" layoutInCell="1" allowOverlap="1" wp14:anchorId="24E97C91" wp14:editId="4B626324">
          <wp:simplePos x="0" y="0"/>
          <wp:positionH relativeFrom="page">
            <wp:posOffset>6315710</wp:posOffset>
          </wp:positionH>
          <wp:positionV relativeFrom="paragraph">
            <wp:posOffset>-534149</wp:posOffset>
          </wp:positionV>
          <wp:extent cx="1459230" cy="1221740"/>
          <wp:effectExtent l="0" t="0" r="7620" b="0"/>
          <wp:wrapNone/>
          <wp:docPr id="12103861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FAFB3" w14:textId="77777777" w:rsidR="00BA32C7" w:rsidRDefault="00BA32C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1EEB85FE" w:rsidR="001E44DE" w:rsidRPr="00E87317" w:rsidRDefault="00BA32C7" w:rsidP="00BA32C7">
    <w:pPr>
      <w:tabs>
        <w:tab w:val="left" w:pos="5208"/>
      </w:tabs>
    </w:pPr>
    <w:r>
      <w:rPr>
        <w:noProof/>
      </w:rPr>
      <w:drawing>
        <wp:anchor distT="0" distB="0" distL="114300" distR="114300" simplePos="0" relativeHeight="251657216" behindDoc="1" locked="0" layoutInCell="1" allowOverlap="1" wp14:anchorId="1127072A" wp14:editId="6CFB89A1">
          <wp:simplePos x="0" y="0"/>
          <wp:positionH relativeFrom="page">
            <wp:posOffset>6305550</wp:posOffset>
          </wp:positionH>
          <wp:positionV relativeFrom="paragraph">
            <wp:posOffset>-931545</wp:posOffset>
          </wp:positionV>
          <wp:extent cx="1459230" cy="1221740"/>
          <wp:effectExtent l="0" t="0" r="7620" b="0"/>
          <wp:wrapNone/>
          <wp:docPr id="52779067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0" layoutInCell="1" allowOverlap="1" wp14:anchorId="02245226" wp14:editId="46F61117">
          <wp:simplePos x="0" y="0"/>
          <wp:positionH relativeFrom="page">
            <wp:align>left</wp:align>
          </wp:positionH>
          <wp:positionV relativeFrom="paragraph">
            <wp:posOffset>-811530</wp:posOffset>
          </wp:positionV>
          <wp:extent cx="5431111" cy="1101361"/>
          <wp:effectExtent l="0" t="0" r="0" b="3810"/>
          <wp:wrapNone/>
          <wp:docPr id="51177134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146" t="15186" r="36070" b="20860"/>
                  <a:stretch/>
                </pic:blipFill>
                <pic:spPr bwMode="auto">
                  <a:xfrm>
                    <a:off x="0" y="0"/>
                    <a:ext cx="5431111" cy="11013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22D8" w14:textId="77777777" w:rsidR="00BA32C7" w:rsidRDefault="00BA32C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B7A53"/>
    <w:multiLevelType w:val="multilevel"/>
    <w:tmpl w:val="48C88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61034D"/>
    <w:multiLevelType w:val="hybridMultilevel"/>
    <w:tmpl w:val="B21A16A0"/>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1191043"/>
    <w:multiLevelType w:val="hybridMultilevel"/>
    <w:tmpl w:val="88686672"/>
    <w:lvl w:ilvl="0" w:tplc="8EEC86AA">
      <w:start w:val="1"/>
      <w:numFmt w:val="lowerLetter"/>
      <w:lvlText w:val="%1)"/>
      <w:lvlJc w:val="left"/>
      <w:pPr>
        <w:ind w:left="360" w:hanging="360"/>
      </w:pPr>
      <w:rPr>
        <w:rFonts w:hint="default"/>
        <w:sz w:val="22"/>
        <w:szCs w:val="22"/>
      </w:rPr>
    </w:lvl>
    <w:lvl w:ilvl="1" w:tplc="080A000F">
      <w:start w:val="1"/>
      <w:numFmt w:val="decimal"/>
      <w:lvlText w:val="%2."/>
      <w:lvlJc w:val="left"/>
      <w:pPr>
        <w:ind w:left="1080" w:hanging="360"/>
      </w:pPr>
    </w:lvl>
    <w:lvl w:ilvl="2" w:tplc="080A001B">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37E6DEE"/>
    <w:multiLevelType w:val="hybridMultilevel"/>
    <w:tmpl w:val="85D265B6"/>
    <w:lvl w:ilvl="0" w:tplc="080A0001">
      <w:start w:val="1"/>
      <w:numFmt w:val="bullet"/>
      <w:lvlText w:val=""/>
      <w:lvlJc w:val="left"/>
      <w:pPr>
        <w:ind w:left="720" w:hanging="360"/>
      </w:pPr>
      <w:rPr>
        <w:rFonts w:ascii="Symbol" w:hAnsi="Symbol"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6" w15:restartNumberingAfterBreak="0">
    <w:nsid w:val="37CE0638"/>
    <w:multiLevelType w:val="hybridMultilevel"/>
    <w:tmpl w:val="194A7CE4"/>
    <w:lvl w:ilvl="0" w:tplc="C9C2B2F8">
      <w:start w:val="1"/>
      <w:numFmt w:val="upperRoman"/>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9D6779B"/>
    <w:multiLevelType w:val="hybridMultilevel"/>
    <w:tmpl w:val="A5D8CB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4220C42"/>
    <w:multiLevelType w:val="hybridMultilevel"/>
    <w:tmpl w:val="17743C38"/>
    <w:lvl w:ilvl="0" w:tplc="3064BD7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10"/>
  </w:num>
  <w:num w:numId="3">
    <w:abstractNumId w:val="1"/>
  </w:num>
  <w:num w:numId="4">
    <w:abstractNumId w:val="9"/>
  </w:num>
  <w:num w:numId="5">
    <w:abstractNumId w:val="0"/>
  </w:num>
  <w:num w:numId="6">
    <w:abstractNumId w:val="2"/>
  </w:num>
  <w:num w:numId="7">
    <w:abstractNumId w:val="8"/>
  </w:num>
  <w:num w:numId="8">
    <w:abstractNumId w:val="4"/>
  </w:num>
  <w:num w:numId="9">
    <w:abstractNumId w:val="3"/>
  </w:num>
  <w:num w:numId="10">
    <w:abstractNumId w:val="7"/>
  </w:num>
  <w:num w:numId="11">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1BF"/>
    <w:rsid w:val="000034C8"/>
    <w:rsid w:val="00003B1A"/>
    <w:rsid w:val="00003DD4"/>
    <w:rsid w:val="000058F8"/>
    <w:rsid w:val="00006D77"/>
    <w:rsid w:val="000076E8"/>
    <w:rsid w:val="0001204D"/>
    <w:rsid w:val="00017839"/>
    <w:rsid w:val="00017B23"/>
    <w:rsid w:val="000244BF"/>
    <w:rsid w:val="000277D8"/>
    <w:rsid w:val="00030D02"/>
    <w:rsid w:val="00034561"/>
    <w:rsid w:val="00035A91"/>
    <w:rsid w:val="00044184"/>
    <w:rsid w:val="0004484D"/>
    <w:rsid w:val="00044C24"/>
    <w:rsid w:val="000464AD"/>
    <w:rsid w:val="00053BD1"/>
    <w:rsid w:val="0006573D"/>
    <w:rsid w:val="00066AAD"/>
    <w:rsid w:val="000734F9"/>
    <w:rsid w:val="00083A10"/>
    <w:rsid w:val="00096DA2"/>
    <w:rsid w:val="000A1B9E"/>
    <w:rsid w:val="000A581F"/>
    <w:rsid w:val="000A6AB1"/>
    <w:rsid w:val="000B2E1D"/>
    <w:rsid w:val="000B65E6"/>
    <w:rsid w:val="000B7456"/>
    <w:rsid w:val="000B7D8D"/>
    <w:rsid w:val="000B7E4F"/>
    <w:rsid w:val="000C3E2A"/>
    <w:rsid w:val="000C5859"/>
    <w:rsid w:val="000D131D"/>
    <w:rsid w:val="000D370A"/>
    <w:rsid w:val="000D378E"/>
    <w:rsid w:val="000D76CF"/>
    <w:rsid w:val="000E3D9E"/>
    <w:rsid w:val="000E7527"/>
    <w:rsid w:val="000F7086"/>
    <w:rsid w:val="001005BF"/>
    <w:rsid w:val="00100DA5"/>
    <w:rsid w:val="0010534E"/>
    <w:rsid w:val="001108FA"/>
    <w:rsid w:val="00110FA8"/>
    <w:rsid w:val="00113B5D"/>
    <w:rsid w:val="001145D4"/>
    <w:rsid w:val="00115EED"/>
    <w:rsid w:val="001163F7"/>
    <w:rsid w:val="001171EA"/>
    <w:rsid w:val="00132173"/>
    <w:rsid w:val="001475EF"/>
    <w:rsid w:val="001535F6"/>
    <w:rsid w:val="001676A1"/>
    <w:rsid w:val="00167A94"/>
    <w:rsid w:val="00170ED2"/>
    <w:rsid w:val="001720DA"/>
    <w:rsid w:val="001726B9"/>
    <w:rsid w:val="0018283E"/>
    <w:rsid w:val="00185859"/>
    <w:rsid w:val="0018701C"/>
    <w:rsid w:val="001933D1"/>
    <w:rsid w:val="00193D0C"/>
    <w:rsid w:val="00196CC8"/>
    <w:rsid w:val="001A0E20"/>
    <w:rsid w:val="001A4143"/>
    <w:rsid w:val="001B0FC4"/>
    <w:rsid w:val="001B20EA"/>
    <w:rsid w:val="001B4F5A"/>
    <w:rsid w:val="001C525E"/>
    <w:rsid w:val="001C5D8B"/>
    <w:rsid w:val="001D20A4"/>
    <w:rsid w:val="001D42E7"/>
    <w:rsid w:val="001D4B36"/>
    <w:rsid w:val="001E11CA"/>
    <w:rsid w:val="001E323D"/>
    <w:rsid w:val="001E3903"/>
    <w:rsid w:val="001E44DE"/>
    <w:rsid w:val="001F446D"/>
    <w:rsid w:val="001F5571"/>
    <w:rsid w:val="001F593C"/>
    <w:rsid w:val="001F62F6"/>
    <w:rsid w:val="00201296"/>
    <w:rsid w:val="00202D14"/>
    <w:rsid w:val="00204E02"/>
    <w:rsid w:val="0020577E"/>
    <w:rsid w:val="002072E8"/>
    <w:rsid w:val="00212C2F"/>
    <w:rsid w:val="00216C00"/>
    <w:rsid w:val="00221A3F"/>
    <w:rsid w:val="00222ED0"/>
    <w:rsid w:val="00225601"/>
    <w:rsid w:val="00234EE4"/>
    <w:rsid w:val="002437F4"/>
    <w:rsid w:val="002525DF"/>
    <w:rsid w:val="00253541"/>
    <w:rsid w:val="002539F1"/>
    <w:rsid w:val="0026141A"/>
    <w:rsid w:val="002628AA"/>
    <w:rsid w:val="00263EF9"/>
    <w:rsid w:val="002643AB"/>
    <w:rsid w:val="0026486F"/>
    <w:rsid w:val="00273AB2"/>
    <w:rsid w:val="00274C5D"/>
    <w:rsid w:val="002817F1"/>
    <w:rsid w:val="002822F7"/>
    <w:rsid w:val="00293273"/>
    <w:rsid w:val="00294FC8"/>
    <w:rsid w:val="002A2865"/>
    <w:rsid w:val="002B0207"/>
    <w:rsid w:val="002B186C"/>
    <w:rsid w:val="002C49AE"/>
    <w:rsid w:val="002D33DE"/>
    <w:rsid w:val="002D4631"/>
    <w:rsid w:val="002D4649"/>
    <w:rsid w:val="002D695E"/>
    <w:rsid w:val="002D6F8C"/>
    <w:rsid w:val="002D76FC"/>
    <w:rsid w:val="002E1668"/>
    <w:rsid w:val="002E70DB"/>
    <w:rsid w:val="002F08B9"/>
    <w:rsid w:val="002F0D85"/>
    <w:rsid w:val="00301708"/>
    <w:rsid w:val="00307AEC"/>
    <w:rsid w:val="00312177"/>
    <w:rsid w:val="0032354D"/>
    <w:rsid w:val="00324B65"/>
    <w:rsid w:val="00326DD7"/>
    <w:rsid w:val="0032768C"/>
    <w:rsid w:val="00330055"/>
    <w:rsid w:val="00336A81"/>
    <w:rsid w:val="00340673"/>
    <w:rsid w:val="00341973"/>
    <w:rsid w:val="00346904"/>
    <w:rsid w:val="00347CBF"/>
    <w:rsid w:val="00350246"/>
    <w:rsid w:val="00352482"/>
    <w:rsid w:val="0035372A"/>
    <w:rsid w:val="0035409F"/>
    <w:rsid w:val="00357E6F"/>
    <w:rsid w:val="00360203"/>
    <w:rsid w:val="00362A18"/>
    <w:rsid w:val="003635C4"/>
    <w:rsid w:val="00364CCE"/>
    <w:rsid w:val="003657F8"/>
    <w:rsid w:val="00373975"/>
    <w:rsid w:val="00374409"/>
    <w:rsid w:val="00383D71"/>
    <w:rsid w:val="003841F5"/>
    <w:rsid w:val="003861EF"/>
    <w:rsid w:val="0038634A"/>
    <w:rsid w:val="003907BC"/>
    <w:rsid w:val="00391153"/>
    <w:rsid w:val="0039251E"/>
    <w:rsid w:val="003A57FA"/>
    <w:rsid w:val="003B0235"/>
    <w:rsid w:val="003B11D6"/>
    <w:rsid w:val="003B7A8D"/>
    <w:rsid w:val="003C0B03"/>
    <w:rsid w:val="003C0F59"/>
    <w:rsid w:val="003C2365"/>
    <w:rsid w:val="003C3144"/>
    <w:rsid w:val="003C7611"/>
    <w:rsid w:val="003D2890"/>
    <w:rsid w:val="003D29B7"/>
    <w:rsid w:val="003E0173"/>
    <w:rsid w:val="003E0258"/>
    <w:rsid w:val="003E3689"/>
    <w:rsid w:val="003E7A72"/>
    <w:rsid w:val="004026DA"/>
    <w:rsid w:val="0040290E"/>
    <w:rsid w:val="004054BC"/>
    <w:rsid w:val="00406274"/>
    <w:rsid w:val="0040628D"/>
    <w:rsid w:val="00406833"/>
    <w:rsid w:val="00410CA3"/>
    <w:rsid w:val="00423795"/>
    <w:rsid w:val="00427B68"/>
    <w:rsid w:val="004331E4"/>
    <w:rsid w:val="004334CB"/>
    <w:rsid w:val="0043405D"/>
    <w:rsid w:val="00444EBC"/>
    <w:rsid w:val="00450905"/>
    <w:rsid w:val="0045190F"/>
    <w:rsid w:val="00451941"/>
    <w:rsid w:val="004553C1"/>
    <w:rsid w:val="004626EA"/>
    <w:rsid w:val="00463D35"/>
    <w:rsid w:val="004640B8"/>
    <w:rsid w:val="00470654"/>
    <w:rsid w:val="00470ED8"/>
    <w:rsid w:val="00471FAD"/>
    <w:rsid w:val="00471FC7"/>
    <w:rsid w:val="004732E3"/>
    <w:rsid w:val="00494604"/>
    <w:rsid w:val="004A7E54"/>
    <w:rsid w:val="004B0770"/>
    <w:rsid w:val="004B2444"/>
    <w:rsid w:val="004B2624"/>
    <w:rsid w:val="004B3E6E"/>
    <w:rsid w:val="004B4455"/>
    <w:rsid w:val="004B56EE"/>
    <w:rsid w:val="004B777C"/>
    <w:rsid w:val="004C11E7"/>
    <w:rsid w:val="004C2F97"/>
    <w:rsid w:val="004C58E0"/>
    <w:rsid w:val="004C5BC1"/>
    <w:rsid w:val="004C783D"/>
    <w:rsid w:val="004D0D7D"/>
    <w:rsid w:val="004D6BE3"/>
    <w:rsid w:val="004D7AE2"/>
    <w:rsid w:val="004E2293"/>
    <w:rsid w:val="004E7F3C"/>
    <w:rsid w:val="004F040C"/>
    <w:rsid w:val="004F5FDB"/>
    <w:rsid w:val="004F7E0C"/>
    <w:rsid w:val="00511C4A"/>
    <w:rsid w:val="00513CFA"/>
    <w:rsid w:val="00514848"/>
    <w:rsid w:val="005168C2"/>
    <w:rsid w:val="00517E9B"/>
    <w:rsid w:val="00522159"/>
    <w:rsid w:val="00524ADB"/>
    <w:rsid w:val="005332CA"/>
    <w:rsid w:val="0053694C"/>
    <w:rsid w:val="00542027"/>
    <w:rsid w:val="00547208"/>
    <w:rsid w:val="005523F8"/>
    <w:rsid w:val="0056218B"/>
    <w:rsid w:val="005637EF"/>
    <w:rsid w:val="00570D3A"/>
    <w:rsid w:val="00575C75"/>
    <w:rsid w:val="00582A0E"/>
    <w:rsid w:val="00582C9A"/>
    <w:rsid w:val="005833F3"/>
    <w:rsid w:val="005869A5"/>
    <w:rsid w:val="00590808"/>
    <w:rsid w:val="00591C3E"/>
    <w:rsid w:val="00595F3A"/>
    <w:rsid w:val="005974C7"/>
    <w:rsid w:val="00597643"/>
    <w:rsid w:val="005A1434"/>
    <w:rsid w:val="005A1C67"/>
    <w:rsid w:val="005A5C8F"/>
    <w:rsid w:val="005A74F5"/>
    <w:rsid w:val="005B38F9"/>
    <w:rsid w:val="005B662C"/>
    <w:rsid w:val="005C486A"/>
    <w:rsid w:val="005C4B4F"/>
    <w:rsid w:val="005C7B39"/>
    <w:rsid w:val="005D6B57"/>
    <w:rsid w:val="005D7855"/>
    <w:rsid w:val="005E43FC"/>
    <w:rsid w:val="005F6A07"/>
    <w:rsid w:val="005F7874"/>
    <w:rsid w:val="006019FA"/>
    <w:rsid w:val="00601EAB"/>
    <w:rsid w:val="006056D8"/>
    <w:rsid w:val="0060638B"/>
    <w:rsid w:val="00611930"/>
    <w:rsid w:val="00612811"/>
    <w:rsid w:val="0061717C"/>
    <w:rsid w:val="00623A79"/>
    <w:rsid w:val="00623D95"/>
    <w:rsid w:val="00624EE5"/>
    <w:rsid w:val="006256FD"/>
    <w:rsid w:val="00635A11"/>
    <w:rsid w:val="006412B6"/>
    <w:rsid w:val="0064576C"/>
    <w:rsid w:val="00650035"/>
    <w:rsid w:val="0065045E"/>
    <w:rsid w:val="00655B58"/>
    <w:rsid w:val="006565D1"/>
    <w:rsid w:val="006572A2"/>
    <w:rsid w:val="0065791F"/>
    <w:rsid w:val="006603E0"/>
    <w:rsid w:val="00660B5A"/>
    <w:rsid w:val="006631C1"/>
    <w:rsid w:val="006655C4"/>
    <w:rsid w:val="006664F3"/>
    <w:rsid w:val="006702D2"/>
    <w:rsid w:val="0067168F"/>
    <w:rsid w:val="00681888"/>
    <w:rsid w:val="00681B06"/>
    <w:rsid w:val="00684857"/>
    <w:rsid w:val="00684F52"/>
    <w:rsid w:val="00690512"/>
    <w:rsid w:val="0069278E"/>
    <w:rsid w:val="00692DE1"/>
    <w:rsid w:val="00695314"/>
    <w:rsid w:val="006A090C"/>
    <w:rsid w:val="006A28DA"/>
    <w:rsid w:val="006A639E"/>
    <w:rsid w:val="006C678E"/>
    <w:rsid w:val="006D533F"/>
    <w:rsid w:val="006D556E"/>
    <w:rsid w:val="006E0C1F"/>
    <w:rsid w:val="006E12CE"/>
    <w:rsid w:val="006E1E7D"/>
    <w:rsid w:val="006E24CD"/>
    <w:rsid w:val="006E3E5A"/>
    <w:rsid w:val="006E75FE"/>
    <w:rsid w:val="006E789A"/>
    <w:rsid w:val="006E796F"/>
    <w:rsid w:val="006F20E0"/>
    <w:rsid w:val="006F26F7"/>
    <w:rsid w:val="006F3829"/>
    <w:rsid w:val="006F3E28"/>
    <w:rsid w:val="006F4241"/>
    <w:rsid w:val="006F7F68"/>
    <w:rsid w:val="00702988"/>
    <w:rsid w:val="0071708C"/>
    <w:rsid w:val="0072159F"/>
    <w:rsid w:val="00724E1C"/>
    <w:rsid w:val="00724EB3"/>
    <w:rsid w:val="007256CA"/>
    <w:rsid w:val="007256E1"/>
    <w:rsid w:val="007318C2"/>
    <w:rsid w:val="007349A0"/>
    <w:rsid w:val="00734F2E"/>
    <w:rsid w:val="00737052"/>
    <w:rsid w:val="00740B85"/>
    <w:rsid w:val="007442D8"/>
    <w:rsid w:val="00744661"/>
    <w:rsid w:val="0074533E"/>
    <w:rsid w:val="00745702"/>
    <w:rsid w:val="007518D2"/>
    <w:rsid w:val="00753A03"/>
    <w:rsid w:val="00760A03"/>
    <w:rsid w:val="00760F9E"/>
    <w:rsid w:val="00766FBB"/>
    <w:rsid w:val="00770C3D"/>
    <w:rsid w:val="0077305A"/>
    <w:rsid w:val="0077345A"/>
    <w:rsid w:val="00774D0C"/>
    <w:rsid w:val="007777D1"/>
    <w:rsid w:val="00780CA2"/>
    <w:rsid w:val="00780F26"/>
    <w:rsid w:val="0078296E"/>
    <w:rsid w:val="0078456F"/>
    <w:rsid w:val="00791752"/>
    <w:rsid w:val="0079480B"/>
    <w:rsid w:val="00796050"/>
    <w:rsid w:val="007A15F1"/>
    <w:rsid w:val="007B2EE1"/>
    <w:rsid w:val="007B3625"/>
    <w:rsid w:val="007B7C95"/>
    <w:rsid w:val="007B7CDF"/>
    <w:rsid w:val="007C2348"/>
    <w:rsid w:val="007C2E8A"/>
    <w:rsid w:val="007D0E6C"/>
    <w:rsid w:val="007D1F4E"/>
    <w:rsid w:val="007D3C4D"/>
    <w:rsid w:val="007D3D85"/>
    <w:rsid w:val="007D5B8A"/>
    <w:rsid w:val="007D6192"/>
    <w:rsid w:val="007E142B"/>
    <w:rsid w:val="007E33B4"/>
    <w:rsid w:val="007E5B78"/>
    <w:rsid w:val="007F0471"/>
    <w:rsid w:val="007F15B1"/>
    <w:rsid w:val="007F25FD"/>
    <w:rsid w:val="007F6654"/>
    <w:rsid w:val="008054F7"/>
    <w:rsid w:val="0080622F"/>
    <w:rsid w:val="008066E1"/>
    <w:rsid w:val="008067AF"/>
    <w:rsid w:val="00817161"/>
    <w:rsid w:val="008233CF"/>
    <w:rsid w:val="00825209"/>
    <w:rsid w:val="00830110"/>
    <w:rsid w:val="00831A88"/>
    <w:rsid w:val="00833F9C"/>
    <w:rsid w:val="0083526E"/>
    <w:rsid w:val="008367B9"/>
    <w:rsid w:val="0083751D"/>
    <w:rsid w:val="00840015"/>
    <w:rsid w:val="008456C6"/>
    <w:rsid w:val="008514A1"/>
    <w:rsid w:val="008524D5"/>
    <w:rsid w:val="00853D41"/>
    <w:rsid w:val="00854E39"/>
    <w:rsid w:val="00855172"/>
    <w:rsid w:val="00856412"/>
    <w:rsid w:val="00864423"/>
    <w:rsid w:val="00870156"/>
    <w:rsid w:val="0087162D"/>
    <w:rsid w:val="00871B9A"/>
    <w:rsid w:val="00877C67"/>
    <w:rsid w:val="00882D49"/>
    <w:rsid w:val="00885EA4"/>
    <w:rsid w:val="00890D34"/>
    <w:rsid w:val="008936E1"/>
    <w:rsid w:val="0089419F"/>
    <w:rsid w:val="008941A5"/>
    <w:rsid w:val="00897386"/>
    <w:rsid w:val="008A036B"/>
    <w:rsid w:val="008A1D5C"/>
    <w:rsid w:val="008A5BBC"/>
    <w:rsid w:val="008B028A"/>
    <w:rsid w:val="008B4E56"/>
    <w:rsid w:val="008C1231"/>
    <w:rsid w:val="008C17A2"/>
    <w:rsid w:val="008C24EB"/>
    <w:rsid w:val="008C5029"/>
    <w:rsid w:val="008D4A50"/>
    <w:rsid w:val="008D6026"/>
    <w:rsid w:val="008D74FB"/>
    <w:rsid w:val="008D7825"/>
    <w:rsid w:val="008E0B72"/>
    <w:rsid w:val="008E1A85"/>
    <w:rsid w:val="008E5CC5"/>
    <w:rsid w:val="008F7E38"/>
    <w:rsid w:val="00903C4B"/>
    <w:rsid w:val="00905E6B"/>
    <w:rsid w:val="0092668B"/>
    <w:rsid w:val="00934A06"/>
    <w:rsid w:val="009417B0"/>
    <w:rsid w:val="009452A5"/>
    <w:rsid w:val="00945D22"/>
    <w:rsid w:val="009467AF"/>
    <w:rsid w:val="00946E93"/>
    <w:rsid w:val="00952C5B"/>
    <w:rsid w:val="009534BF"/>
    <w:rsid w:val="00954D41"/>
    <w:rsid w:val="00964AB1"/>
    <w:rsid w:val="009667CE"/>
    <w:rsid w:val="0096685C"/>
    <w:rsid w:val="00966972"/>
    <w:rsid w:val="00971CAB"/>
    <w:rsid w:val="009720CF"/>
    <w:rsid w:val="009743C8"/>
    <w:rsid w:val="0097641B"/>
    <w:rsid w:val="00977B4E"/>
    <w:rsid w:val="009811B3"/>
    <w:rsid w:val="0098602B"/>
    <w:rsid w:val="00992557"/>
    <w:rsid w:val="009942D2"/>
    <w:rsid w:val="00994847"/>
    <w:rsid w:val="009A12C2"/>
    <w:rsid w:val="009A5E6F"/>
    <w:rsid w:val="009B747B"/>
    <w:rsid w:val="009B755A"/>
    <w:rsid w:val="009C763E"/>
    <w:rsid w:val="009D27D6"/>
    <w:rsid w:val="009D47F4"/>
    <w:rsid w:val="009E217E"/>
    <w:rsid w:val="009E476D"/>
    <w:rsid w:val="009E6724"/>
    <w:rsid w:val="009E7136"/>
    <w:rsid w:val="009E7B22"/>
    <w:rsid w:val="009F0F17"/>
    <w:rsid w:val="009F1090"/>
    <w:rsid w:val="009F526C"/>
    <w:rsid w:val="009F52D4"/>
    <w:rsid w:val="009F58FB"/>
    <w:rsid w:val="00A001C6"/>
    <w:rsid w:val="00A019B3"/>
    <w:rsid w:val="00A07007"/>
    <w:rsid w:val="00A1013B"/>
    <w:rsid w:val="00A10737"/>
    <w:rsid w:val="00A109C0"/>
    <w:rsid w:val="00A124DA"/>
    <w:rsid w:val="00A1262B"/>
    <w:rsid w:val="00A13643"/>
    <w:rsid w:val="00A137F8"/>
    <w:rsid w:val="00A13E5D"/>
    <w:rsid w:val="00A16F34"/>
    <w:rsid w:val="00A205DE"/>
    <w:rsid w:val="00A2072B"/>
    <w:rsid w:val="00A250DD"/>
    <w:rsid w:val="00A3649F"/>
    <w:rsid w:val="00A36C34"/>
    <w:rsid w:val="00A47EFA"/>
    <w:rsid w:val="00A52406"/>
    <w:rsid w:val="00A52E0A"/>
    <w:rsid w:val="00A675C5"/>
    <w:rsid w:val="00A70DFB"/>
    <w:rsid w:val="00A75314"/>
    <w:rsid w:val="00A75952"/>
    <w:rsid w:val="00A847B2"/>
    <w:rsid w:val="00A9012B"/>
    <w:rsid w:val="00A90202"/>
    <w:rsid w:val="00AA2F01"/>
    <w:rsid w:val="00AA52A4"/>
    <w:rsid w:val="00AA555B"/>
    <w:rsid w:val="00AA62E4"/>
    <w:rsid w:val="00AB23C7"/>
    <w:rsid w:val="00AB3322"/>
    <w:rsid w:val="00AB3A26"/>
    <w:rsid w:val="00AC5DE4"/>
    <w:rsid w:val="00AD08A1"/>
    <w:rsid w:val="00AD56B6"/>
    <w:rsid w:val="00AE10E9"/>
    <w:rsid w:val="00AE25C2"/>
    <w:rsid w:val="00AE3F97"/>
    <w:rsid w:val="00AE436F"/>
    <w:rsid w:val="00AF0F18"/>
    <w:rsid w:val="00AF4337"/>
    <w:rsid w:val="00AF4D0D"/>
    <w:rsid w:val="00B010B1"/>
    <w:rsid w:val="00B0247D"/>
    <w:rsid w:val="00B02DE0"/>
    <w:rsid w:val="00B0420E"/>
    <w:rsid w:val="00B07382"/>
    <w:rsid w:val="00B10E87"/>
    <w:rsid w:val="00B148CC"/>
    <w:rsid w:val="00B1695C"/>
    <w:rsid w:val="00B23F20"/>
    <w:rsid w:val="00B256A2"/>
    <w:rsid w:val="00B27964"/>
    <w:rsid w:val="00B33839"/>
    <w:rsid w:val="00B37269"/>
    <w:rsid w:val="00B449EC"/>
    <w:rsid w:val="00B47FA3"/>
    <w:rsid w:val="00B51EDA"/>
    <w:rsid w:val="00B528CE"/>
    <w:rsid w:val="00B552FA"/>
    <w:rsid w:val="00B55D45"/>
    <w:rsid w:val="00B56B46"/>
    <w:rsid w:val="00B606EB"/>
    <w:rsid w:val="00B61719"/>
    <w:rsid w:val="00B633E4"/>
    <w:rsid w:val="00B63582"/>
    <w:rsid w:val="00B715DB"/>
    <w:rsid w:val="00B75DF3"/>
    <w:rsid w:val="00B7642F"/>
    <w:rsid w:val="00B7745F"/>
    <w:rsid w:val="00B9024B"/>
    <w:rsid w:val="00BA32C7"/>
    <w:rsid w:val="00BA6B62"/>
    <w:rsid w:val="00BB2C7D"/>
    <w:rsid w:val="00BB7CA7"/>
    <w:rsid w:val="00BC0044"/>
    <w:rsid w:val="00BC4759"/>
    <w:rsid w:val="00BC5948"/>
    <w:rsid w:val="00BD531E"/>
    <w:rsid w:val="00BD646C"/>
    <w:rsid w:val="00BD6BB5"/>
    <w:rsid w:val="00BE462B"/>
    <w:rsid w:val="00BF10B7"/>
    <w:rsid w:val="00BF5C52"/>
    <w:rsid w:val="00BF64B6"/>
    <w:rsid w:val="00BF7037"/>
    <w:rsid w:val="00BF7A5A"/>
    <w:rsid w:val="00BF7BC9"/>
    <w:rsid w:val="00C0279A"/>
    <w:rsid w:val="00C03EDB"/>
    <w:rsid w:val="00C119A4"/>
    <w:rsid w:val="00C13D25"/>
    <w:rsid w:val="00C1402A"/>
    <w:rsid w:val="00C1461A"/>
    <w:rsid w:val="00C14E50"/>
    <w:rsid w:val="00C16175"/>
    <w:rsid w:val="00C24A6C"/>
    <w:rsid w:val="00C24D1F"/>
    <w:rsid w:val="00C276E7"/>
    <w:rsid w:val="00C27A82"/>
    <w:rsid w:val="00C30A80"/>
    <w:rsid w:val="00C30A86"/>
    <w:rsid w:val="00C32EB3"/>
    <w:rsid w:val="00C36F77"/>
    <w:rsid w:val="00C376DD"/>
    <w:rsid w:val="00C40C98"/>
    <w:rsid w:val="00C40E69"/>
    <w:rsid w:val="00C41537"/>
    <w:rsid w:val="00C455C6"/>
    <w:rsid w:val="00C5264E"/>
    <w:rsid w:val="00C52C2E"/>
    <w:rsid w:val="00C538BD"/>
    <w:rsid w:val="00C53931"/>
    <w:rsid w:val="00C53E11"/>
    <w:rsid w:val="00C54345"/>
    <w:rsid w:val="00C553F7"/>
    <w:rsid w:val="00C57E55"/>
    <w:rsid w:val="00C62AE7"/>
    <w:rsid w:val="00C64E7F"/>
    <w:rsid w:val="00C6510D"/>
    <w:rsid w:val="00C67E8F"/>
    <w:rsid w:val="00C715DF"/>
    <w:rsid w:val="00C7213B"/>
    <w:rsid w:val="00C76805"/>
    <w:rsid w:val="00C802F7"/>
    <w:rsid w:val="00C80999"/>
    <w:rsid w:val="00C903BB"/>
    <w:rsid w:val="00CA527D"/>
    <w:rsid w:val="00CB5631"/>
    <w:rsid w:val="00CC0AE2"/>
    <w:rsid w:val="00CC321F"/>
    <w:rsid w:val="00CC536F"/>
    <w:rsid w:val="00CC75EB"/>
    <w:rsid w:val="00CD0019"/>
    <w:rsid w:val="00CD0A16"/>
    <w:rsid w:val="00CD1195"/>
    <w:rsid w:val="00CD15D9"/>
    <w:rsid w:val="00CD2F5E"/>
    <w:rsid w:val="00CD6F12"/>
    <w:rsid w:val="00CE14E3"/>
    <w:rsid w:val="00CE28B9"/>
    <w:rsid w:val="00CE35BC"/>
    <w:rsid w:val="00CF1AFE"/>
    <w:rsid w:val="00CF251E"/>
    <w:rsid w:val="00CF4A7F"/>
    <w:rsid w:val="00CF7358"/>
    <w:rsid w:val="00CF7CAD"/>
    <w:rsid w:val="00D00C3B"/>
    <w:rsid w:val="00D0130E"/>
    <w:rsid w:val="00D026A0"/>
    <w:rsid w:val="00D02AB7"/>
    <w:rsid w:val="00D03D39"/>
    <w:rsid w:val="00D124F4"/>
    <w:rsid w:val="00D154C5"/>
    <w:rsid w:val="00D22E8D"/>
    <w:rsid w:val="00D25062"/>
    <w:rsid w:val="00D25120"/>
    <w:rsid w:val="00D2622F"/>
    <w:rsid w:val="00D27CC0"/>
    <w:rsid w:val="00D30477"/>
    <w:rsid w:val="00D30DC4"/>
    <w:rsid w:val="00D32741"/>
    <w:rsid w:val="00D35BEA"/>
    <w:rsid w:val="00D43CD8"/>
    <w:rsid w:val="00D44973"/>
    <w:rsid w:val="00D46409"/>
    <w:rsid w:val="00D469C1"/>
    <w:rsid w:val="00D502C5"/>
    <w:rsid w:val="00D518B3"/>
    <w:rsid w:val="00D525EF"/>
    <w:rsid w:val="00D53786"/>
    <w:rsid w:val="00D658A7"/>
    <w:rsid w:val="00D670B7"/>
    <w:rsid w:val="00D71852"/>
    <w:rsid w:val="00D73FE2"/>
    <w:rsid w:val="00D750D2"/>
    <w:rsid w:val="00D757C6"/>
    <w:rsid w:val="00D76FEA"/>
    <w:rsid w:val="00D80F8A"/>
    <w:rsid w:val="00D85106"/>
    <w:rsid w:val="00D85316"/>
    <w:rsid w:val="00D91944"/>
    <w:rsid w:val="00D92E5A"/>
    <w:rsid w:val="00D93429"/>
    <w:rsid w:val="00D95C97"/>
    <w:rsid w:val="00D95F5D"/>
    <w:rsid w:val="00D9605D"/>
    <w:rsid w:val="00D9613C"/>
    <w:rsid w:val="00D97477"/>
    <w:rsid w:val="00DA0314"/>
    <w:rsid w:val="00DA2023"/>
    <w:rsid w:val="00DA7125"/>
    <w:rsid w:val="00DA75B0"/>
    <w:rsid w:val="00DB221A"/>
    <w:rsid w:val="00DC0510"/>
    <w:rsid w:val="00DC1325"/>
    <w:rsid w:val="00DD47E0"/>
    <w:rsid w:val="00DD4AA3"/>
    <w:rsid w:val="00DD792F"/>
    <w:rsid w:val="00DD7BE8"/>
    <w:rsid w:val="00DE0499"/>
    <w:rsid w:val="00DE2FEF"/>
    <w:rsid w:val="00DE5617"/>
    <w:rsid w:val="00DE66B2"/>
    <w:rsid w:val="00DF31D7"/>
    <w:rsid w:val="00E02F95"/>
    <w:rsid w:val="00E2798D"/>
    <w:rsid w:val="00E31FA8"/>
    <w:rsid w:val="00E36009"/>
    <w:rsid w:val="00E36A20"/>
    <w:rsid w:val="00E41CFA"/>
    <w:rsid w:val="00E43C00"/>
    <w:rsid w:val="00E43F68"/>
    <w:rsid w:val="00E47E5E"/>
    <w:rsid w:val="00E50BA2"/>
    <w:rsid w:val="00E514B2"/>
    <w:rsid w:val="00E57792"/>
    <w:rsid w:val="00E6093A"/>
    <w:rsid w:val="00E634E2"/>
    <w:rsid w:val="00E63D36"/>
    <w:rsid w:val="00E65C91"/>
    <w:rsid w:val="00E662C2"/>
    <w:rsid w:val="00E7021F"/>
    <w:rsid w:val="00E72296"/>
    <w:rsid w:val="00E72CD8"/>
    <w:rsid w:val="00E7365C"/>
    <w:rsid w:val="00E81F92"/>
    <w:rsid w:val="00E87317"/>
    <w:rsid w:val="00E9094B"/>
    <w:rsid w:val="00E932D2"/>
    <w:rsid w:val="00E96037"/>
    <w:rsid w:val="00EA358E"/>
    <w:rsid w:val="00EA4D35"/>
    <w:rsid w:val="00EA5CB0"/>
    <w:rsid w:val="00EB17AD"/>
    <w:rsid w:val="00EC0FAF"/>
    <w:rsid w:val="00EC29A6"/>
    <w:rsid w:val="00EC4AB2"/>
    <w:rsid w:val="00EC58FC"/>
    <w:rsid w:val="00EC5D5E"/>
    <w:rsid w:val="00EC7218"/>
    <w:rsid w:val="00ED316A"/>
    <w:rsid w:val="00ED3E6F"/>
    <w:rsid w:val="00ED4AFD"/>
    <w:rsid w:val="00ED5421"/>
    <w:rsid w:val="00ED61C7"/>
    <w:rsid w:val="00ED6E85"/>
    <w:rsid w:val="00ED7449"/>
    <w:rsid w:val="00EE5F2C"/>
    <w:rsid w:val="00EF04B9"/>
    <w:rsid w:val="00EF712A"/>
    <w:rsid w:val="00EF7F73"/>
    <w:rsid w:val="00F025DB"/>
    <w:rsid w:val="00F03D79"/>
    <w:rsid w:val="00F0511D"/>
    <w:rsid w:val="00F07AEC"/>
    <w:rsid w:val="00F112E3"/>
    <w:rsid w:val="00F12AB1"/>
    <w:rsid w:val="00F159F8"/>
    <w:rsid w:val="00F161A3"/>
    <w:rsid w:val="00F2078F"/>
    <w:rsid w:val="00F229AF"/>
    <w:rsid w:val="00F23B26"/>
    <w:rsid w:val="00F266BC"/>
    <w:rsid w:val="00F4169C"/>
    <w:rsid w:val="00F44391"/>
    <w:rsid w:val="00F501A0"/>
    <w:rsid w:val="00F53715"/>
    <w:rsid w:val="00F54FBF"/>
    <w:rsid w:val="00F56604"/>
    <w:rsid w:val="00F60B1B"/>
    <w:rsid w:val="00F6212E"/>
    <w:rsid w:val="00F629C1"/>
    <w:rsid w:val="00F7219A"/>
    <w:rsid w:val="00F72C6C"/>
    <w:rsid w:val="00F84E80"/>
    <w:rsid w:val="00F86433"/>
    <w:rsid w:val="00F8697E"/>
    <w:rsid w:val="00F91599"/>
    <w:rsid w:val="00F92269"/>
    <w:rsid w:val="00F969E0"/>
    <w:rsid w:val="00FA21A5"/>
    <w:rsid w:val="00FA2D32"/>
    <w:rsid w:val="00FA6703"/>
    <w:rsid w:val="00FB3673"/>
    <w:rsid w:val="00FB4F12"/>
    <w:rsid w:val="00FB4F5D"/>
    <w:rsid w:val="00FB541B"/>
    <w:rsid w:val="00FB6D8B"/>
    <w:rsid w:val="00FC2A94"/>
    <w:rsid w:val="00FC3C52"/>
    <w:rsid w:val="00FC5F24"/>
    <w:rsid w:val="00FC7212"/>
    <w:rsid w:val="00FD1D65"/>
    <w:rsid w:val="00FD6B62"/>
    <w:rsid w:val="00FD746C"/>
    <w:rsid w:val="00FE3051"/>
    <w:rsid w:val="00FE6874"/>
    <w:rsid w:val="00FF15C2"/>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C14E50"/>
    <w:pPr>
      <w:keepNext/>
      <w:keepLines/>
      <w:spacing w:before="0" w:after="0" w:line="240" w:lineRule="auto"/>
      <w:outlineLvl w:val="0"/>
    </w:pPr>
    <w:rPr>
      <w:rFonts w:ascii="Noto Sans" w:eastAsia="Calibri" w:hAnsi="Noto Sans" w:cstheme="majorBidi"/>
      <w:b/>
      <w:caps/>
      <w:color w:val="9D2449"/>
      <w:sz w:val="21"/>
      <w:szCs w:val="36"/>
      <w:lang w:val="es-ES_tradnl"/>
    </w:rPr>
  </w:style>
  <w:style w:type="paragraph" w:styleId="Ttulo2">
    <w:name w:val="heading 2"/>
    <w:basedOn w:val="Normal"/>
    <w:next w:val="Normal"/>
    <w:link w:val="Ttulo2Car"/>
    <w:uiPriority w:val="9"/>
    <w:unhideWhenUsed/>
    <w:qFormat/>
    <w:rsid w:val="00C14E50"/>
    <w:pPr>
      <w:keepNext/>
      <w:keepLines/>
      <w:spacing w:before="40" w:after="0"/>
      <w:outlineLvl w:val="1"/>
    </w:pPr>
    <w:rPr>
      <w:rFonts w:ascii="Noto Sans" w:eastAsiaTheme="majorEastAsia" w:hAnsi="Noto Sans" w:cstheme="majorBidi"/>
      <w:b/>
      <w:caps/>
      <w:color w:val="B38E5D"/>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14E50"/>
    <w:rPr>
      <w:rFonts w:ascii="Noto Sans" w:eastAsia="Calibri" w:hAnsi="Noto Sans" w:cstheme="majorBidi"/>
      <w:b/>
      <w:caps/>
      <w:color w:val="9D2449"/>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C14E50"/>
    <w:rPr>
      <w:rFonts w:ascii="Noto Sans" w:eastAsiaTheme="majorEastAsia" w:hAnsi="Noto Sans" w:cstheme="majorBidi"/>
      <w:b/>
      <w:caps/>
      <w:color w:val="B38E5D"/>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C14E50"/>
    <w:rPr>
      <w:rFonts w:ascii="Noto Sans" w:hAnsi="Noto Sans"/>
      <w:b/>
      <w:color w:val="000000" w:themeColor="text1"/>
      <w:sz w:val="20"/>
    </w:rPr>
  </w:style>
  <w:style w:type="character" w:customStyle="1" w:styleId="NegritasCar">
    <w:name w:val="Negritas Car"/>
    <w:basedOn w:val="Fuentedeprrafopredeter"/>
    <w:link w:val="Negritas"/>
    <w:rsid w:val="00C14E50"/>
    <w:rPr>
      <w:rFonts w:ascii="Noto Sans" w:hAnsi="Noto Sans"/>
      <w:b/>
      <w:color w:val="000000" w:themeColor="text1"/>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C14E50"/>
    <w:pPr>
      <w:spacing w:before="240" w:after="240" w:line="360" w:lineRule="auto"/>
    </w:pPr>
    <w:rPr>
      <w:rFonts w:ascii="Noto Sans" w:hAnsi="Noto Sans"/>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C1402A"/>
    <w:rPr>
      <w:color w:val="0563C1" w:themeColor="hyperlink"/>
      <w:u w:val="single"/>
    </w:rPr>
  </w:style>
  <w:style w:type="character" w:styleId="Mencinsinresolver">
    <w:name w:val="Unresolved Mention"/>
    <w:basedOn w:val="Fuentedeprrafopredeter"/>
    <w:uiPriority w:val="99"/>
    <w:semiHidden/>
    <w:unhideWhenUsed/>
    <w:rsid w:val="00C1402A"/>
    <w:rPr>
      <w:color w:val="605E5C"/>
      <w:shd w:val="clear" w:color="auto" w:fill="E1DFDD"/>
    </w:rPr>
  </w:style>
  <w:style w:type="character" w:styleId="Hipervnculovisitado">
    <w:name w:val="FollowedHyperlink"/>
    <w:basedOn w:val="Fuentedeprrafopredeter"/>
    <w:uiPriority w:val="99"/>
    <w:semiHidden/>
    <w:unhideWhenUsed/>
    <w:rsid w:val="002817F1"/>
    <w:rPr>
      <w:color w:val="954F72" w:themeColor="followedHyperlink"/>
      <w:u w:val="single"/>
    </w:rPr>
  </w:style>
  <w:style w:type="character" w:customStyle="1" w:styleId="normaltextrun">
    <w:name w:val="normaltextrun"/>
    <w:basedOn w:val="Fuentedeprrafopredeter"/>
    <w:rsid w:val="006F7F68"/>
  </w:style>
  <w:style w:type="character" w:customStyle="1" w:styleId="eop">
    <w:name w:val="eop"/>
    <w:basedOn w:val="Fuentedeprrafopredeter"/>
    <w:rsid w:val="006F7F68"/>
  </w:style>
  <w:style w:type="paragraph" w:customStyle="1" w:styleId="paragraph">
    <w:name w:val="paragraph"/>
    <w:basedOn w:val="Normal"/>
    <w:rsid w:val="006F7F68"/>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
    <w:basedOn w:val="Normal"/>
    <w:link w:val="PrrafodelistaCar"/>
    <w:uiPriority w:val="34"/>
    <w:qFormat/>
    <w:rsid w:val="00B7642F"/>
    <w:pPr>
      <w:ind w:left="720"/>
      <w:contextualSpacing/>
    </w:p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B7642F"/>
    <w:rPr>
      <w:rFonts w:ascii="Montserrat" w:hAnsi="Montserra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15</Pages>
  <Words>3700</Words>
  <Characters>20350</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14</cp:revision>
  <cp:lastPrinted>2025-06-02T16:20:00Z</cp:lastPrinted>
  <dcterms:created xsi:type="dcterms:W3CDTF">2025-05-21T15:17:00Z</dcterms:created>
  <dcterms:modified xsi:type="dcterms:W3CDTF">2025-06-02T16:27:00Z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099a1e9574182380374ae640de7795c8012870a2d7cf6adaf15bbebaafcbca7e</vt:lpwstr>
  </property>
</Properties>
</file>